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1018FE">
      <w:pPr>
        <w:spacing w:line="300" w:lineRule="auto"/>
        <w:jc w:val="center"/>
        <w:rPr>
          <w:rFonts w:ascii="Times New Roman" w:hAnsi="Times New Roman" w:eastAsia="黑体"/>
          <w:b/>
          <w:bCs/>
          <w:color w:val="000000"/>
          <w:w w:val="90"/>
          <w:sz w:val="44"/>
          <w:szCs w:val="44"/>
        </w:rPr>
      </w:pPr>
    </w:p>
    <w:p w14:paraId="2E8C64F1">
      <w:pPr>
        <w:widowControl w:val="0"/>
        <w:spacing w:before="468" w:beforeLines="150" w:after="468" w:afterLines="150"/>
        <w:jc w:val="center"/>
        <w:rPr>
          <w:rFonts w:hint="eastAsia" w:ascii="方正小标宋简体" w:hAnsi="方正小标宋简体" w:eastAsia="方正小标宋简体" w:cs="方正小标宋简体"/>
          <w:b/>
          <w:kern w:val="2"/>
          <w:sz w:val="52"/>
          <w:szCs w:val="52"/>
        </w:rPr>
      </w:pPr>
      <w:r>
        <w:rPr>
          <w:rFonts w:hint="eastAsia" w:ascii="方正小标宋简体" w:hAnsi="方正小标宋简体" w:eastAsia="方正小标宋简体" w:cs="方正小标宋简体"/>
          <w:b/>
          <w:kern w:val="2"/>
          <w:sz w:val="52"/>
          <w:szCs w:val="52"/>
        </w:rPr>
        <w:t>山东济钢环保新材料有限公司</w:t>
      </w:r>
    </w:p>
    <w:p w14:paraId="3163DB23">
      <w:pPr>
        <w:spacing w:line="300" w:lineRule="auto"/>
        <w:ind w:left="0" w:leftChars="0" w:firstLine="0" w:firstLineChars="0"/>
        <w:jc w:val="center"/>
        <w:rPr>
          <w:rFonts w:hint="eastAsia" w:ascii="方正小标宋简体" w:hAnsi="方正小标宋简体" w:eastAsia="方正小标宋简体" w:cs="方正小标宋简体"/>
          <w:b/>
          <w:bCs/>
          <w:color w:val="000000"/>
          <w:w w:val="90"/>
          <w:sz w:val="44"/>
          <w:szCs w:val="44"/>
        </w:rPr>
      </w:pPr>
      <w:r>
        <w:rPr>
          <w:rFonts w:hint="eastAsia" w:ascii="方正小标宋简体" w:hAnsi="方正小标宋简体" w:eastAsia="方正小标宋简体" w:cs="方正小标宋简体"/>
          <w:b/>
          <w:bCs/>
          <w:color w:val="000000"/>
          <w:w w:val="90"/>
          <w:sz w:val="44"/>
          <w:szCs w:val="44"/>
          <w:lang w:eastAsia="zh-CN"/>
        </w:rPr>
        <w:t>202</w:t>
      </w:r>
      <w:r>
        <w:rPr>
          <w:rFonts w:hint="eastAsia" w:ascii="方正小标宋简体" w:hAnsi="方正小标宋简体" w:eastAsia="方正小标宋简体" w:cs="方正小标宋简体"/>
          <w:b/>
          <w:bCs/>
          <w:color w:val="000000"/>
          <w:w w:val="90"/>
          <w:sz w:val="44"/>
          <w:szCs w:val="44"/>
          <w:lang w:val="en-US" w:eastAsia="zh-CN"/>
        </w:rPr>
        <w:t>6</w:t>
      </w:r>
      <w:r>
        <w:rPr>
          <w:rFonts w:hint="eastAsia" w:ascii="方正小标宋简体" w:hAnsi="方正小标宋简体" w:eastAsia="方正小标宋简体" w:cs="方正小标宋简体"/>
          <w:b/>
          <w:bCs/>
          <w:color w:val="000000"/>
          <w:w w:val="90"/>
          <w:sz w:val="44"/>
          <w:szCs w:val="44"/>
          <w:lang w:eastAsia="zh-CN"/>
        </w:rPr>
        <w:t>年-202</w:t>
      </w:r>
      <w:r>
        <w:rPr>
          <w:rFonts w:hint="eastAsia" w:ascii="方正小标宋简体" w:hAnsi="方正小标宋简体" w:eastAsia="方正小标宋简体" w:cs="方正小标宋简体"/>
          <w:b/>
          <w:bCs/>
          <w:color w:val="000000"/>
          <w:w w:val="90"/>
          <w:sz w:val="44"/>
          <w:szCs w:val="44"/>
          <w:lang w:val="en-US" w:eastAsia="zh-CN"/>
        </w:rPr>
        <w:t>9</w:t>
      </w:r>
      <w:r>
        <w:rPr>
          <w:rFonts w:hint="eastAsia" w:ascii="方正小标宋简体" w:hAnsi="方正小标宋简体" w:eastAsia="方正小标宋简体" w:cs="方正小标宋简体"/>
          <w:b/>
          <w:bCs/>
          <w:color w:val="000000"/>
          <w:w w:val="90"/>
          <w:sz w:val="44"/>
          <w:szCs w:val="44"/>
          <w:lang w:eastAsia="zh-CN"/>
        </w:rPr>
        <w:t>年高压电机维修</w:t>
      </w:r>
      <w:r>
        <w:rPr>
          <w:rFonts w:hint="eastAsia" w:ascii="方正小标宋简体" w:hAnsi="方正小标宋简体" w:eastAsia="方正小标宋简体" w:cs="方正小标宋简体"/>
          <w:b/>
          <w:bCs/>
          <w:color w:val="000000"/>
          <w:w w:val="90"/>
          <w:sz w:val="44"/>
          <w:szCs w:val="44"/>
        </w:rPr>
        <w:t>服务</w:t>
      </w:r>
    </w:p>
    <w:p w14:paraId="17239711">
      <w:pPr>
        <w:spacing w:line="300" w:lineRule="auto"/>
        <w:ind w:firstLine="3182" w:firstLineChars="800"/>
        <w:rPr>
          <w:rFonts w:hint="eastAsia" w:ascii="方正小标宋简体" w:hAnsi="方正小标宋简体" w:eastAsia="方正小标宋简体" w:cs="方正小标宋简体"/>
          <w:b/>
          <w:bCs/>
          <w:color w:val="000000"/>
          <w:w w:val="90"/>
          <w:sz w:val="44"/>
          <w:szCs w:val="44"/>
        </w:rPr>
      </w:pPr>
    </w:p>
    <w:p w14:paraId="17EEAE7A">
      <w:pPr>
        <w:spacing w:line="300" w:lineRule="auto"/>
        <w:ind w:firstLine="3182" w:firstLineChars="800"/>
        <w:rPr>
          <w:rFonts w:hint="eastAsia" w:ascii="方正小标宋简体" w:hAnsi="方正小标宋简体" w:eastAsia="方正小标宋简体" w:cs="方正小标宋简体"/>
          <w:b/>
          <w:bCs/>
          <w:color w:val="000000"/>
          <w:w w:val="90"/>
          <w:sz w:val="44"/>
          <w:szCs w:val="44"/>
        </w:rPr>
      </w:pPr>
    </w:p>
    <w:p w14:paraId="4D1ED321">
      <w:pPr>
        <w:widowControl w:val="0"/>
        <w:spacing w:before="468" w:beforeLines="150" w:after="468" w:afterLines="150"/>
        <w:jc w:val="center"/>
        <w:rPr>
          <w:rFonts w:hint="eastAsia" w:ascii="方正小标宋简体" w:hAnsi="方正小标宋简体" w:eastAsia="方正小标宋简体" w:cs="方正小标宋简体"/>
          <w:b/>
          <w:kern w:val="2"/>
          <w:sz w:val="52"/>
          <w:szCs w:val="52"/>
        </w:rPr>
      </w:pPr>
      <w:r>
        <w:rPr>
          <w:rFonts w:hint="eastAsia" w:ascii="方正小标宋简体" w:hAnsi="方正小标宋简体" w:eastAsia="方正小标宋简体" w:cs="方正小标宋简体"/>
          <w:b/>
          <w:kern w:val="2"/>
          <w:sz w:val="52"/>
          <w:szCs w:val="52"/>
        </w:rPr>
        <w:t>招标文件</w:t>
      </w:r>
    </w:p>
    <w:p w14:paraId="6EF02D9E">
      <w:pPr>
        <w:spacing w:line="300" w:lineRule="auto"/>
        <w:jc w:val="center"/>
        <w:rPr>
          <w:rFonts w:hint="eastAsia" w:ascii="方正小标宋简体" w:hAnsi="方正小标宋简体" w:eastAsia="方正小标宋简体" w:cs="方正小标宋简体"/>
          <w:b/>
          <w:bCs/>
          <w:color w:val="000000"/>
          <w:w w:val="90"/>
          <w:sz w:val="44"/>
          <w:szCs w:val="44"/>
        </w:rPr>
      </w:pPr>
    </w:p>
    <w:p w14:paraId="6A7A3AFB">
      <w:pPr>
        <w:spacing w:line="300" w:lineRule="auto"/>
        <w:ind w:firstLine="6401" w:firstLineChars="1449"/>
        <w:rPr>
          <w:rFonts w:hint="eastAsia" w:ascii="方正小标宋简体" w:hAnsi="方正小标宋简体" w:eastAsia="方正小标宋简体" w:cs="方正小标宋简体"/>
          <w:b/>
          <w:color w:val="000000"/>
          <w:sz w:val="44"/>
          <w:szCs w:val="44"/>
        </w:rPr>
      </w:pPr>
    </w:p>
    <w:p w14:paraId="037D0587">
      <w:pPr>
        <w:spacing w:line="300" w:lineRule="auto"/>
        <w:ind w:firstLine="5288" w:firstLineChars="1646"/>
        <w:rPr>
          <w:rFonts w:hint="eastAsia" w:ascii="方正小标宋简体" w:hAnsi="方正小标宋简体" w:eastAsia="方正小标宋简体" w:cs="方正小标宋简体"/>
          <w:b/>
          <w:color w:val="000000"/>
          <w:sz w:val="32"/>
          <w:szCs w:val="32"/>
          <w:u w:val="single"/>
        </w:rPr>
      </w:pPr>
    </w:p>
    <w:p w14:paraId="383063DB">
      <w:pPr>
        <w:tabs>
          <w:tab w:val="left" w:pos="1134"/>
          <w:tab w:val="left" w:pos="5481"/>
          <w:tab w:val="left" w:pos="5859"/>
        </w:tabs>
        <w:spacing w:line="300" w:lineRule="auto"/>
        <w:rPr>
          <w:rFonts w:hint="eastAsia" w:ascii="方正小标宋简体" w:hAnsi="方正小标宋简体" w:eastAsia="方正小标宋简体" w:cs="方正小标宋简体"/>
          <w:b/>
          <w:color w:val="000000"/>
          <w:sz w:val="28"/>
          <w:szCs w:val="28"/>
        </w:rPr>
      </w:pPr>
    </w:p>
    <w:p w14:paraId="31A09CFF">
      <w:pPr>
        <w:tabs>
          <w:tab w:val="left" w:pos="1134"/>
          <w:tab w:val="left" w:pos="5481"/>
          <w:tab w:val="left" w:pos="5859"/>
        </w:tabs>
        <w:spacing w:line="300" w:lineRule="auto"/>
        <w:rPr>
          <w:rFonts w:hint="eastAsia" w:ascii="方正小标宋简体" w:hAnsi="方正小标宋简体" w:eastAsia="方正小标宋简体" w:cs="方正小标宋简体"/>
          <w:b/>
          <w:color w:val="000000"/>
          <w:sz w:val="28"/>
          <w:szCs w:val="28"/>
        </w:rPr>
      </w:pPr>
    </w:p>
    <w:p w14:paraId="2AA0DE75">
      <w:pPr>
        <w:spacing w:line="300" w:lineRule="auto"/>
        <w:ind w:firstLine="560" w:firstLineChars="200"/>
        <w:rPr>
          <w:rFonts w:hint="eastAsia" w:ascii="方正小标宋简体" w:hAnsi="方正小标宋简体" w:eastAsia="方正小标宋简体" w:cs="方正小标宋简体"/>
          <w:bCs/>
          <w:color w:val="000000"/>
          <w:sz w:val="32"/>
          <w:szCs w:val="32"/>
        </w:rPr>
      </w:pPr>
      <w:r>
        <w:rPr>
          <w:rFonts w:hint="eastAsia" w:ascii="方正小标宋简体" w:hAnsi="方正小标宋简体" w:eastAsia="方正小标宋简体" w:cs="方正小标宋简体"/>
          <w:bCs/>
          <w:color w:val="000000"/>
          <w:sz w:val="28"/>
          <w:szCs w:val="28"/>
        </w:rPr>
        <w:t xml:space="preserve">   </w:t>
      </w:r>
      <w:r>
        <w:rPr>
          <w:rFonts w:hint="eastAsia" w:ascii="方正小标宋简体" w:hAnsi="方正小标宋简体" w:eastAsia="方正小标宋简体" w:cs="方正小标宋简体"/>
          <w:bCs/>
          <w:color w:val="000000"/>
          <w:sz w:val="32"/>
          <w:szCs w:val="32"/>
        </w:rPr>
        <w:t xml:space="preserve">    招标人：山东济钢环保新材料有限公司 </w:t>
      </w:r>
    </w:p>
    <w:p w14:paraId="3E8287CF">
      <w:pPr>
        <w:pStyle w:val="81"/>
        <w:shd w:val="clear" w:color="auto"/>
        <w:spacing w:line="300" w:lineRule="auto"/>
        <w:jc w:val="center"/>
        <w:rPr>
          <w:rFonts w:hint="eastAsia" w:ascii="方正小标宋简体" w:hAnsi="方正小标宋简体" w:eastAsia="方正小标宋简体" w:cs="方正小标宋简体"/>
          <w:bCs/>
          <w:color w:val="000000"/>
          <w:spacing w:val="28"/>
          <w:sz w:val="32"/>
          <w:szCs w:val="32"/>
        </w:rPr>
      </w:pPr>
      <w:r>
        <w:rPr>
          <w:rFonts w:hint="eastAsia" w:ascii="方正小标宋简体" w:hAnsi="方正小标宋简体" w:eastAsia="方正小标宋简体" w:cs="方正小标宋简体"/>
          <w:bCs/>
          <w:color w:val="000000"/>
          <w:spacing w:val="28"/>
          <w:sz w:val="32"/>
          <w:szCs w:val="32"/>
        </w:rPr>
        <w:t>202</w:t>
      </w:r>
      <w:r>
        <w:rPr>
          <w:rFonts w:hint="eastAsia" w:ascii="方正小标宋简体" w:hAnsi="方正小标宋简体" w:eastAsia="方正小标宋简体" w:cs="方正小标宋简体"/>
          <w:bCs/>
          <w:color w:val="000000"/>
          <w:spacing w:val="28"/>
          <w:sz w:val="32"/>
          <w:szCs w:val="32"/>
          <w:lang w:val="en-US" w:eastAsia="zh-CN"/>
        </w:rPr>
        <w:t>6</w:t>
      </w:r>
      <w:r>
        <w:rPr>
          <w:rFonts w:hint="eastAsia" w:ascii="方正小标宋简体" w:hAnsi="方正小标宋简体" w:eastAsia="方正小标宋简体" w:cs="方正小标宋简体"/>
          <w:bCs/>
          <w:color w:val="000000"/>
          <w:spacing w:val="28"/>
          <w:sz w:val="32"/>
          <w:szCs w:val="32"/>
        </w:rPr>
        <w:t>年</w:t>
      </w:r>
      <w:r>
        <w:rPr>
          <w:rFonts w:hint="eastAsia" w:ascii="方正小标宋简体" w:hAnsi="方正小标宋简体" w:eastAsia="方正小标宋简体" w:cs="方正小标宋简体"/>
          <w:bCs/>
          <w:color w:val="000000"/>
          <w:spacing w:val="28"/>
          <w:sz w:val="32"/>
          <w:szCs w:val="32"/>
          <w:lang w:val="en-US" w:eastAsia="zh-CN"/>
        </w:rPr>
        <w:t>6</w:t>
      </w:r>
      <w:r>
        <w:rPr>
          <w:rFonts w:hint="eastAsia" w:ascii="方正小标宋简体" w:hAnsi="方正小标宋简体" w:eastAsia="方正小标宋简体" w:cs="方正小标宋简体"/>
          <w:bCs/>
          <w:color w:val="000000"/>
          <w:spacing w:val="28"/>
          <w:sz w:val="32"/>
          <w:szCs w:val="32"/>
        </w:rPr>
        <w:t>月</w:t>
      </w:r>
      <w:r>
        <w:rPr>
          <w:rFonts w:hint="eastAsia" w:ascii="方正小标宋简体" w:hAnsi="方正小标宋简体" w:eastAsia="方正小标宋简体" w:cs="方正小标宋简体"/>
          <w:bCs/>
          <w:color w:val="000000"/>
          <w:spacing w:val="28"/>
          <w:sz w:val="32"/>
          <w:szCs w:val="32"/>
          <w:lang w:val="en-US" w:eastAsia="zh-CN"/>
        </w:rPr>
        <w:t>18</w:t>
      </w:r>
      <w:r>
        <w:rPr>
          <w:rFonts w:hint="eastAsia" w:ascii="方正小标宋简体" w:hAnsi="方正小标宋简体" w:eastAsia="方正小标宋简体" w:cs="方正小标宋简体"/>
          <w:bCs/>
          <w:color w:val="000000"/>
          <w:spacing w:val="28"/>
          <w:sz w:val="32"/>
          <w:szCs w:val="32"/>
        </w:rPr>
        <w:t>日</w:t>
      </w:r>
    </w:p>
    <w:p w14:paraId="29EF1309">
      <w:pPr>
        <w:shd w:val="clear"/>
        <w:spacing w:line="300" w:lineRule="auto"/>
        <w:rPr>
          <w:rFonts w:hint="eastAsia" w:ascii="方正小标宋简体" w:hAnsi="方正小标宋简体" w:eastAsia="方正小标宋简体" w:cs="方正小标宋简体"/>
          <w:bCs/>
          <w:color w:val="000000"/>
          <w:sz w:val="28"/>
          <w:szCs w:val="28"/>
        </w:rPr>
        <w:sectPr>
          <w:headerReference r:id="rId3" w:type="default"/>
          <w:pgSz w:w="11906" w:h="16838"/>
          <w:pgMar w:top="1440" w:right="1416" w:bottom="1440" w:left="1560" w:header="851" w:footer="992" w:gutter="0"/>
          <w:cols w:space="720" w:num="1"/>
          <w:docGrid w:type="lines" w:linePitch="312" w:charSpace="0"/>
        </w:sectPr>
      </w:pPr>
    </w:p>
    <w:sdt>
      <w:sdtPr>
        <w:rPr>
          <w:rFonts w:hint="eastAsia" w:ascii="方正小标宋简体" w:hAnsi="方正小标宋简体" w:eastAsia="方正小标宋简体" w:cs="方正小标宋简体"/>
          <w:sz w:val="36"/>
          <w:szCs w:val="36"/>
          <w:lang w:val="en-US" w:eastAsia="zh-CN" w:bidi="ar-SA"/>
        </w:rPr>
        <w:id w:val="147473828"/>
        <w:docPartObj>
          <w:docPartGallery w:val="Table of Contents"/>
          <w:docPartUnique/>
        </w:docPartObj>
      </w:sdtPr>
      <w:sdtEndPr>
        <w:rPr>
          <w:rFonts w:hint="eastAsia" w:ascii="方正小标宋简体" w:hAnsi="方正小标宋简体" w:eastAsia="方正小标宋简体" w:cs="方正小标宋简体"/>
          <w:sz w:val="20"/>
          <w:szCs w:val="20"/>
          <w:lang w:val="en-US" w:eastAsia="zh-CN" w:bidi="ar-SA"/>
        </w:rPr>
      </w:sdtEndPr>
      <w:sdtContent>
        <w:p w14:paraId="4491104F">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sz w:val="36"/>
              <w:szCs w:val="36"/>
            </w:rPr>
          </w:pPr>
          <w:bookmarkStart w:id="0" w:name="_Toc29274_WPSOffice_Type1"/>
          <w:r>
            <w:rPr>
              <w:rFonts w:hint="eastAsia" w:ascii="方正小标宋简体" w:hAnsi="方正小标宋简体" w:eastAsia="方正小标宋简体" w:cs="方正小标宋简体"/>
              <w:sz w:val="36"/>
              <w:szCs w:val="36"/>
            </w:rPr>
            <w:t>目录</w:t>
          </w:r>
        </w:p>
        <w:p w14:paraId="530D760E">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_Toc5950_WPSOffice_Level1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80804"/>
              <w:placeholder>
                <w:docPart w:val="{47c6498c-0552-4c59-ae9c-47d58bc557e6}"/>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第一章   招标公告</w:t>
              </w:r>
            </w:sdtContent>
          </w:sdt>
          <w:r>
            <w:rPr>
              <w:rFonts w:hint="eastAsia" w:ascii="仿宋_GB2312" w:hAnsi="仿宋_GB2312" w:eastAsia="仿宋_GB2312" w:cs="仿宋_GB2312"/>
              <w:b/>
              <w:bCs/>
              <w:sz w:val="28"/>
              <w:szCs w:val="28"/>
            </w:rPr>
            <w:tab/>
          </w:r>
          <w:bookmarkStart w:id="1" w:name="_Toc5950_WPSOffice_Level1Page"/>
          <w:r>
            <w:rPr>
              <w:rFonts w:hint="eastAsia" w:ascii="仿宋_GB2312" w:hAnsi="仿宋_GB2312" w:eastAsia="仿宋_GB2312" w:cs="仿宋_GB2312"/>
              <w:b/>
              <w:bCs/>
              <w:sz w:val="28"/>
              <w:szCs w:val="28"/>
            </w:rPr>
            <w:t>1</w:t>
          </w:r>
          <w:bookmarkEnd w:id="1"/>
          <w:r>
            <w:rPr>
              <w:rFonts w:hint="eastAsia" w:ascii="仿宋_GB2312" w:hAnsi="仿宋_GB2312" w:eastAsia="仿宋_GB2312" w:cs="仿宋_GB2312"/>
              <w:b/>
              <w:bCs/>
              <w:sz w:val="28"/>
              <w:szCs w:val="28"/>
            </w:rPr>
            <w:fldChar w:fldCharType="end"/>
          </w:r>
        </w:p>
        <w:p w14:paraId="2C898DFB">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_Toc29274_WPSOffice_Level1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53569"/>
              <w:placeholder>
                <w:docPart w:val="{b51bf0f7-022a-4559-abc0-0d1bd889bd8a}"/>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 xml:space="preserve">第二章  </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招标须知</w:t>
              </w:r>
            </w:sdtContent>
          </w:sdt>
          <w:r>
            <w:rPr>
              <w:rFonts w:hint="eastAsia" w:ascii="仿宋_GB2312" w:hAnsi="仿宋_GB2312" w:eastAsia="仿宋_GB2312" w:cs="仿宋_GB2312"/>
              <w:b/>
              <w:bCs/>
              <w:sz w:val="28"/>
              <w:szCs w:val="28"/>
            </w:rPr>
            <w:tab/>
          </w:r>
          <w:bookmarkStart w:id="2" w:name="_Toc29274_WPSOffice_Level1Page"/>
          <w:r>
            <w:rPr>
              <w:rFonts w:hint="eastAsia" w:ascii="仿宋_GB2312" w:hAnsi="仿宋_GB2312" w:eastAsia="仿宋_GB2312" w:cs="仿宋_GB2312"/>
              <w:b/>
              <w:bCs/>
              <w:sz w:val="28"/>
              <w:szCs w:val="28"/>
            </w:rPr>
            <w:t>5</w:t>
          </w:r>
          <w:bookmarkEnd w:id="2"/>
          <w:r>
            <w:rPr>
              <w:rFonts w:hint="eastAsia" w:ascii="仿宋_GB2312" w:hAnsi="仿宋_GB2312" w:eastAsia="仿宋_GB2312" w:cs="仿宋_GB2312"/>
              <w:b/>
              <w:bCs/>
              <w:sz w:val="28"/>
              <w:szCs w:val="28"/>
            </w:rPr>
            <w:fldChar w:fldCharType="end"/>
          </w:r>
        </w:p>
        <w:p w14:paraId="620BD0D1">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_Toc24184_WPSOffice_Level1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62233"/>
              <w:placeholder>
                <w:docPart w:val="{c25d4978-c5d2-477a-91bb-0b09dc94c11a}"/>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 xml:space="preserve">第三章  </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评标办法</w:t>
              </w:r>
            </w:sdtContent>
          </w:sdt>
          <w:r>
            <w:rPr>
              <w:rFonts w:hint="eastAsia" w:ascii="仿宋_GB2312" w:hAnsi="仿宋_GB2312" w:eastAsia="仿宋_GB2312" w:cs="仿宋_GB2312"/>
              <w:b/>
              <w:bCs/>
              <w:sz w:val="28"/>
              <w:szCs w:val="28"/>
            </w:rPr>
            <w:tab/>
          </w:r>
          <w:bookmarkStart w:id="3" w:name="_Toc24184_WPSOffice_Level1Page"/>
          <w:r>
            <w:rPr>
              <w:rFonts w:hint="eastAsia" w:ascii="仿宋_GB2312" w:hAnsi="仿宋_GB2312" w:eastAsia="仿宋_GB2312" w:cs="仿宋_GB2312"/>
              <w:b/>
              <w:bCs/>
              <w:sz w:val="28"/>
              <w:szCs w:val="28"/>
            </w:rPr>
            <w:t>19</w:t>
          </w:r>
          <w:bookmarkEnd w:id="3"/>
          <w:r>
            <w:rPr>
              <w:rFonts w:hint="eastAsia" w:ascii="仿宋_GB2312" w:hAnsi="仿宋_GB2312" w:eastAsia="仿宋_GB2312" w:cs="仿宋_GB2312"/>
              <w:b/>
              <w:bCs/>
              <w:sz w:val="28"/>
              <w:szCs w:val="28"/>
            </w:rPr>
            <w:fldChar w:fldCharType="end"/>
          </w:r>
        </w:p>
        <w:p w14:paraId="3531E42A">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_Toc22717_WPSOffice_Level1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61008"/>
              <w:placeholder>
                <w:docPart w:val="{4dee9d09-12f1-4d62-ac96-cef84ef3c0db}"/>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 xml:space="preserve">第四章 </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技术要求</w:t>
              </w:r>
            </w:sdtContent>
          </w:sdt>
          <w:r>
            <w:rPr>
              <w:rFonts w:hint="eastAsia" w:ascii="仿宋_GB2312" w:hAnsi="仿宋_GB2312" w:eastAsia="仿宋_GB2312" w:cs="仿宋_GB2312"/>
              <w:b/>
              <w:bCs/>
              <w:sz w:val="28"/>
              <w:szCs w:val="28"/>
            </w:rPr>
            <w:tab/>
          </w:r>
          <w:bookmarkStart w:id="4" w:name="_Toc22717_WPSOffice_Level1Page"/>
          <w:r>
            <w:rPr>
              <w:rFonts w:hint="eastAsia" w:ascii="仿宋_GB2312" w:hAnsi="仿宋_GB2312" w:eastAsia="仿宋_GB2312" w:cs="仿宋_GB2312"/>
              <w:b/>
              <w:bCs/>
              <w:sz w:val="28"/>
              <w:szCs w:val="28"/>
            </w:rPr>
            <w:t>22</w:t>
          </w:r>
          <w:bookmarkEnd w:id="4"/>
          <w:r>
            <w:rPr>
              <w:rFonts w:hint="eastAsia" w:ascii="仿宋_GB2312" w:hAnsi="仿宋_GB2312" w:eastAsia="仿宋_GB2312" w:cs="仿宋_GB2312"/>
              <w:b/>
              <w:bCs/>
              <w:sz w:val="28"/>
              <w:szCs w:val="28"/>
            </w:rPr>
            <w:fldChar w:fldCharType="end"/>
          </w:r>
        </w:p>
        <w:p w14:paraId="64930876">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_Toc386_WPSOffice_Level1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78650"/>
              <w:placeholder>
                <w:docPart w:val="{baa7020d-cbdc-4b80-9be8-db23af549d25}"/>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 xml:space="preserve">第五章  </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合同条款及格式</w:t>
              </w:r>
            </w:sdtContent>
          </w:sdt>
          <w:r>
            <w:rPr>
              <w:rFonts w:hint="eastAsia" w:ascii="仿宋_GB2312" w:hAnsi="仿宋_GB2312" w:eastAsia="仿宋_GB2312" w:cs="仿宋_GB2312"/>
              <w:b/>
              <w:bCs/>
              <w:sz w:val="28"/>
              <w:szCs w:val="28"/>
            </w:rPr>
            <w:tab/>
          </w:r>
          <w:bookmarkStart w:id="5" w:name="_Toc386_WPSOffice_Level1Page"/>
          <w:r>
            <w:rPr>
              <w:rFonts w:hint="eastAsia" w:ascii="仿宋_GB2312" w:hAnsi="仿宋_GB2312" w:eastAsia="仿宋_GB2312" w:cs="仿宋_GB2312"/>
              <w:b/>
              <w:bCs/>
              <w:sz w:val="28"/>
              <w:szCs w:val="28"/>
            </w:rPr>
            <w:t>24</w:t>
          </w:r>
          <w:bookmarkEnd w:id="5"/>
          <w:r>
            <w:rPr>
              <w:rFonts w:hint="eastAsia" w:ascii="仿宋_GB2312" w:hAnsi="仿宋_GB2312" w:eastAsia="仿宋_GB2312" w:cs="仿宋_GB2312"/>
              <w:b/>
              <w:bCs/>
              <w:sz w:val="28"/>
              <w:szCs w:val="28"/>
            </w:rPr>
            <w:fldChar w:fldCharType="end"/>
          </w:r>
        </w:p>
        <w:p w14:paraId="60B121D7">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_Toc1571_WPSOffice_Level1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63068"/>
              <w:placeholder>
                <w:docPart w:val="{37c66cee-39be-405c-8a3b-ccee1d5988c9}"/>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 xml:space="preserve">第六章 </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投标文件格式及内容</w:t>
              </w:r>
            </w:sdtContent>
          </w:sdt>
          <w:r>
            <w:rPr>
              <w:rFonts w:hint="eastAsia" w:ascii="仿宋_GB2312" w:hAnsi="仿宋_GB2312" w:eastAsia="仿宋_GB2312" w:cs="仿宋_GB2312"/>
              <w:b/>
              <w:bCs/>
              <w:sz w:val="28"/>
              <w:szCs w:val="28"/>
            </w:rPr>
            <w:tab/>
          </w:r>
          <w:bookmarkStart w:id="6" w:name="_Toc1571_WPSOffice_Level1Page"/>
          <w:r>
            <w:rPr>
              <w:rFonts w:hint="eastAsia" w:ascii="仿宋_GB2312" w:hAnsi="仿宋_GB2312" w:eastAsia="仿宋_GB2312" w:cs="仿宋_GB2312"/>
              <w:b/>
              <w:bCs/>
              <w:sz w:val="28"/>
              <w:szCs w:val="28"/>
            </w:rPr>
            <w:t>31</w:t>
          </w:r>
          <w:bookmarkEnd w:id="6"/>
          <w:r>
            <w:rPr>
              <w:rFonts w:hint="eastAsia" w:ascii="仿宋_GB2312" w:hAnsi="仿宋_GB2312" w:eastAsia="仿宋_GB2312" w:cs="仿宋_GB2312"/>
              <w:b/>
              <w:bCs/>
              <w:sz w:val="28"/>
              <w:szCs w:val="28"/>
            </w:rPr>
            <w:fldChar w:fldCharType="end"/>
          </w:r>
        </w:p>
        <w:p w14:paraId="138F4153">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_Toc15065_WPSOffice_Level1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71334"/>
              <w:placeholder>
                <w:docPart w:val="{fdd5341b-5a73-400a-9400-40fd51aceecd}"/>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1、投标函</w:t>
              </w:r>
            </w:sdtContent>
          </w:sdt>
          <w:r>
            <w:rPr>
              <w:rFonts w:hint="eastAsia" w:ascii="仿宋_GB2312" w:hAnsi="仿宋_GB2312" w:eastAsia="仿宋_GB2312" w:cs="仿宋_GB2312"/>
              <w:b/>
              <w:bCs/>
              <w:sz w:val="28"/>
              <w:szCs w:val="28"/>
            </w:rPr>
            <w:tab/>
          </w:r>
          <w:bookmarkStart w:id="7" w:name="_Toc15065_WPSOffice_Level1Page"/>
          <w:r>
            <w:rPr>
              <w:rFonts w:hint="eastAsia" w:ascii="仿宋_GB2312" w:hAnsi="仿宋_GB2312" w:eastAsia="仿宋_GB2312" w:cs="仿宋_GB2312"/>
              <w:b/>
              <w:bCs/>
              <w:sz w:val="28"/>
              <w:szCs w:val="28"/>
            </w:rPr>
            <w:t>33</w:t>
          </w:r>
          <w:bookmarkEnd w:id="7"/>
          <w:r>
            <w:rPr>
              <w:rFonts w:hint="eastAsia" w:ascii="仿宋_GB2312" w:hAnsi="仿宋_GB2312" w:eastAsia="仿宋_GB2312" w:cs="仿宋_GB2312"/>
              <w:b/>
              <w:bCs/>
              <w:sz w:val="28"/>
              <w:szCs w:val="28"/>
            </w:rPr>
            <w:fldChar w:fldCharType="end"/>
          </w:r>
        </w:p>
        <w:p w14:paraId="186CBB4D">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_Toc31858_WPSOffice_Level1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56006"/>
              <w:placeholder>
                <w:docPart w:val="{c8d31c09-d53b-47a6-805d-f697f880347d}"/>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2、法定代表人身份证明</w:t>
              </w:r>
            </w:sdtContent>
          </w:sdt>
          <w:r>
            <w:rPr>
              <w:rFonts w:hint="eastAsia" w:ascii="仿宋_GB2312" w:hAnsi="仿宋_GB2312" w:eastAsia="仿宋_GB2312" w:cs="仿宋_GB2312"/>
              <w:b/>
              <w:bCs/>
              <w:sz w:val="28"/>
              <w:szCs w:val="28"/>
            </w:rPr>
            <w:tab/>
          </w:r>
          <w:bookmarkStart w:id="8" w:name="_Toc31858_WPSOffice_Level1Page"/>
          <w:r>
            <w:rPr>
              <w:rFonts w:hint="eastAsia" w:ascii="仿宋_GB2312" w:hAnsi="仿宋_GB2312" w:eastAsia="仿宋_GB2312" w:cs="仿宋_GB2312"/>
              <w:b/>
              <w:bCs/>
              <w:sz w:val="28"/>
              <w:szCs w:val="28"/>
            </w:rPr>
            <w:t>34</w:t>
          </w:r>
          <w:bookmarkEnd w:id="8"/>
          <w:r>
            <w:rPr>
              <w:rFonts w:hint="eastAsia" w:ascii="仿宋_GB2312" w:hAnsi="仿宋_GB2312" w:eastAsia="仿宋_GB2312" w:cs="仿宋_GB2312"/>
              <w:b/>
              <w:bCs/>
              <w:sz w:val="28"/>
              <w:szCs w:val="28"/>
            </w:rPr>
            <w:fldChar w:fldCharType="end"/>
          </w:r>
        </w:p>
        <w:p w14:paraId="266B6272">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_Toc14_WPSOffice_Level1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80194"/>
              <w:placeholder>
                <w:docPart w:val="{ebff3c89-b4c8-46ae-97ac-e8b2495addcb}"/>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3、授权委托书</w:t>
              </w:r>
            </w:sdtContent>
          </w:sdt>
          <w:r>
            <w:rPr>
              <w:rFonts w:hint="eastAsia" w:ascii="仿宋_GB2312" w:hAnsi="仿宋_GB2312" w:eastAsia="仿宋_GB2312" w:cs="仿宋_GB2312"/>
              <w:b/>
              <w:bCs/>
              <w:sz w:val="28"/>
              <w:szCs w:val="28"/>
            </w:rPr>
            <w:tab/>
          </w:r>
          <w:bookmarkStart w:id="9" w:name="_Toc14_WPSOffice_Level1Page"/>
          <w:r>
            <w:rPr>
              <w:rFonts w:hint="eastAsia" w:ascii="仿宋_GB2312" w:hAnsi="仿宋_GB2312" w:eastAsia="仿宋_GB2312" w:cs="仿宋_GB2312"/>
              <w:b/>
              <w:bCs/>
              <w:sz w:val="28"/>
              <w:szCs w:val="28"/>
            </w:rPr>
            <w:t>35</w:t>
          </w:r>
          <w:bookmarkEnd w:id="9"/>
          <w:r>
            <w:rPr>
              <w:rFonts w:hint="eastAsia" w:ascii="仿宋_GB2312" w:hAnsi="仿宋_GB2312" w:eastAsia="仿宋_GB2312" w:cs="仿宋_GB2312"/>
              <w:b/>
              <w:bCs/>
              <w:sz w:val="28"/>
              <w:szCs w:val="28"/>
            </w:rPr>
            <w:fldChar w:fldCharType="end"/>
          </w:r>
        </w:p>
        <w:p w14:paraId="05622C95">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_Toc20722_WPSOffice_Level1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69578"/>
              <w:placeholder>
                <w:docPart w:val="{ec6c8546-bf52-4b04-a1f8-d58ee26a9361}"/>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4、投标保证金</w:t>
              </w:r>
            </w:sdtContent>
          </w:sdt>
          <w:r>
            <w:rPr>
              <w:rFonts w:hint="eastAsia" w:ascii="仿宋_GB2312" w:hAnsi="仿宋_GB2312" w:eastAsia="仿宋_GB2312" w:cs="仿宋_GB2312"/>
              <w:b/>
              <w:bCs/>
              <w:sz w:val="28"/>
              <w:szCs w:val="28"/>
            </w:rPr>
            <w:tab/>
          </w:r>
          <w:bookmarkStart w:id="10" w:name="_Toc20722_WPSOffice_Level1Page"/>
          <w:r>
            <w:rPr>
              <w:rFonts w:hint="eastAsia" w:ascii="仿宋_GB2312" w:hAnsi="仿宋_GB2312" w:eastAsia="仿宋_GB2312" w:cs="仿宋_GB2312"/>
              <w:b/>
              <w:bCs/>
              <w:sz w:val="28"/>
              <w:szCs w:val="28"/>
            </w:rPr>
            <w:t>36</w:t>
          </w:r>
          <w:bookmarkEnd w:id="10"/>
          <w:r>
            <w:rPr>
              <w:rFonts w:hint="eastAsia" w:ascii="仿宋_GB2312" w:hAnsi="仿宋_GB2312" w:eastAsia="仿宋_GB2312" w:cs="仿宋_GB2312"/>
              <w:b/>
              <w:bCs/>
              <w:sz w:val="28"/>
              <w:szCs w:val="28"/>
            </w:rPr>
            <w:fldChar w:fldCharType="end"/>
          </w:r>
        </w:p>
        <w:p w14:paraId="5660DA50">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_Toc27730_WPSOffice_Level1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73353"/>
              <w:placeholder>
                <w:docPart w:val="{cd7df482-2d0d-47bc-9c73-7f2245ce7394}"/>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5、资格审查资料</w:t>
              </w:r>
            </w:sdtContent>
          </w:sdt>
          <w:r>
            <w:rPr>
              <w:rFonts w:hint="eastAsia" w:ascii="仿宋_GB2312" w:hAnsi="仿宋_GB2312" w:eastAsia="仿宋_GB2312" w:cs="仿宋_GB2312"/>
              <w:b/>
              <w:bCs/>
              <w:sz w:val="28"/>
              <w:szCs w:val="28"/>
            </w:rPr>
            <w:tab/>
          </w:r>
          <w:bookmarkStart w:id="11" w:name="_Toc27730_WPSOffice_Level1Page"/>
          <w:r>
            <w:rPr>
              <w:rFonts w:hint="eastAsia" w:ascii="仿宋_GB2312" w:hAnsi="仿宋_GB2312" w:eastAsia="仿宋_GB2312" w:cs="仿宋_GB2312"/>
              <w:b/>
              <w:bCs/>
              <w:sz w:val="28"/>
              <w:szCs w:val="28"/>
            </w:rPr>
            <w:t>36</w:t>
          </w:r>
          <w:bookmarkEnd w:id="11"/>
          <w:r>
            <w:rPr>
              <w:rFonts w:hint="eastAsia" w:ascii="仿宋_GB2312" w:hAnsi="仿宋_GB2312" w:eastAsia="仿宋_GB2312" w:cs="仿宋_GB2312"/>
              <w:b/>
              <w:bCs/>
              <w:sz w:val="28"/>
              <w:szCs w:val="28"/>
            </w:rPr>
            <w:fldChar w:fldCharType="end"/>
          </w:r>
        </w:p>
        <w:p w14:paraId="37FE52F4">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_Toc19580_WPSOffice_Level1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82521"/>
              <w:placeholder>
                <w:docPart w:val="{b985d993-bf46-4bf7-a804-6cac3911529b}"/>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6、报价表</w:t>
              </w:r>
            </w:sdtContent>
          </w:sdt>
          <w:r>
            <w:rPr>
              <w:rFonts w:hint="eastAsia" w:ascii="仿宋_GB2312" w:hAnsi="仿宋_GB2312" w:eastAsia="仿宋_GB2312" w:cs="仿宋_GB2312"/>
              <w:b/>
              <w:bCs/>
              <w:sz w:val="28"/>
              <w:szCs w:val="28"/>
            </w:rPr>
            <w:tab/>
          </w:r>
          <w:bookmarkStart w:id="12" w:name="_Toc19580_WPSOffice_Level1Page"/>
          <w:r>
            <w:rPr>
              <w:rFonts w:hint="eastAsia" w:ascii="仿宋_GB2312" w:hAnsi="仿宋_GB2312" w:eastAsia="仿宋_GB2312" w:cs="仿宋_GB2312"/>
              <w:b/>
              <w:bCs/>
              <w:sz w:val="28"/>
              <w:szCs w:val="28"/>
            </w:rPr>
            <w:t>38</w:t>
          </w:r>
          <w:bookmarkEnd w:id="12"/>
          <w:r>
            <w:rPr>
              <w:rFonts w:hint="eastAsia" w:ascii="仿宋_GB2312" w:hAnsi="仿宋_GB2312" w:eastAsia="仿宋_GB2312" w:cs="仿宋_GB2312"/>
              <w:b/>
              <w:bCs/>
              <w:sz w:val="28"/>
              <w:szCs w:val="28"/>
            </w:rPr>
            <w:fldChar w:fldCharType="end"/>
          </w:r>
        </w:p>
        <w:p w14:paraId="55BA08C2">
          <w:pPr>
            <w:pStyle w:val="203"/>
            <w:tabs>
              <w:tab w:val="right" w:leader="dot" w:pos="9000"/>
            </w:tabs>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_Toc16334_WPSOffice_Level1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70034"/>
              <w:placeholder>
                <w:docPart w:val="{ea41b6b9-b3e2-4665-ba57-84d017007248}"/>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7、商务或技术偏差表</w:t>
              </w:r>
            </w:sdtContent>
          </w:sdt>
          <w:r>
            <w:rPr>
              <w:rFonts w:hint="eastAsia" w:ascii="仿宋_GB2312" w:hAnsi="仿宋_GB2312" w:eastAsia="仿宋_GB2312" w:cs="仿宋_GB2312"/>
              <w:b/>
              <w:bCs/>
              <w:sz w:val="28"/>
              <w:szCs w:val="28"/>
            </w:rPr>
            <w:tab/>
          </w:r>
          <w:bookmarkStart w:id="13" w:name="_Toc16334_WPSOffice_Level1Page"/>
          <w:r>
            <w:rPr>
              <w:rFonts w:hint="eastAsia" w:ascii="仿宋_GB2312" w:hAnsi="仿宋_GB2312" w:eastAsia="仿宋_GB2312" w:cs="仿宋_GB2312"/>
              <w:b/>
              <w:bCs/>
              <w:sz w:val="28"/>
              <w:szCs w:val="28"/>
            </w:rPr>
            <w:t>40</w:t>
          </w:r>
          <w:bookmarkEnd w:id="13"/>
          <w:r>
            <w:rPr>
              <w:rFonts w:hint="eastAsia" w:ascii="仿宋_GB2312" w:hAnsi="仿宋_GB2312" w:eastAsia="仿宋_GB2312" w:cs="仿宋_GB2312"/>
              <w:b/>
              <w:bCs/>
              <w:sz w:val="28"/>
              <w:szCs w:val="28"/>
            </w:rPr>
            <w:fldChar w:fldCharType="end"/>
          </w:r>
        </w:p>
        <w:p w14:paraId="612AA7EE">
          <w:pPr>
            <w:pStyle w:val="203"/>
            <w:tabs>
              <w:tab w:val="right" w:leader="dot" w:pos="9000"/>
            </w:tabs>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 HYPERLINK \l _Toc27227_WPSOffice_Level1 </w:instrText>
          </w:r>
          <w:r>
            <w:rPr>
              <w:rFonts w:hint="eastAsia" w:ascii="仿宋_GB2312" w:hAnsi="仿宋_GB2312" w:eastAsia="仿宋_GB2312" w:cs="仿宋_GB2312"/>
              <w:b/>
              <w:bCs/>
              <w:sz w:val="28"/>
              <w:szCs w:val="28"/>
            </w:rPr>
            <w:fldChar w:fldCharType="separate"/>
          </w:r>
          <w:sdt>
            <w:sdtPr>
              <w:rPr>
                <w:rFonts w:hint="eastAsia" w:ascii="仿宋_GB2312" w:hAnsi="仿宋_GB2312" w:eastAsia="仿宋_GB2312" w:cs="仿宋_GB2312"/>
                <w:b/>
                <w:bCs/>
                <w:sz w:val="28"/>
                <w:szCs w:val="28"/>
                <w:lang w:val="en-US" w:eastAsia="zh-CN" w:bidi="ar-SA"/>
              </w:rPr>
              <w:id w:val="147478713"/>
              <w:placeholder>
                <w:docPart w:val="{2bb8ae50-9b2b-4e83-bd42-d0ed4c0d1e74}"/>
              </w:placeholder>
            </w:sdtPr>
            <w:sdtEndPr>
              <w:rPr>
                <w:rFonts w:hint="eastAsia" w:ascii="仿宋_GB2312" w:hAnsi="仿宋_GB2312" w:eastAsia="仿宋_GB2312" w:cs="仿宋_GB2312"/>
                <w:b/>
                <w:bCs/>
                <w:sz w:val="28"/>
                <w:szCs w:val="28"/>
                <w:lang w:val="en-US" w:eastAsia="zh-CN" w:bidi="ar-SA"/>
              </w:rPr>
            </w:sdtEndPr>
            <w:sdtContent>
              <w:r>
                <w:rPr>
                  <w:rFonts w:hint="eastAsia" w:ascii="仿宋_GB2312" w:hAnsi="仿宋_GB2312" w:eastAsia="仿宋_GB2312" w:cs="仿宋_GB2312"/>
                  <w:b/>
                  <w:bCs/>
                  <w:sz w:val="28"/>
                  <w:szCs w:val="28"/>
                </w:rPr>
                <w:t>8、投标人认为应补充的其他资料</w:t>
              </w:r>
            </w:sdtContent>
          </w:sdt>
          <w:r>
            <w:rPr>
              <w:rFonts w:hint="eastAsia" w:ascii="仿宋_GB2312" w:hAnsi="仿宋_GB2312" w:eastAsia="仿宋_GB2312" w:cs="仿宋_GB2312"/>
              <w:b/>
              <w:bCs/>
              <w:sz w:val="28"/>
              <w:szCs w:val="28"/>
            </w:rPr>
            <w:tab/>
          </w:r>
          <w:bookmarkStart w:id="14" w:name="_Toc27227_WPSOffice_Level1Page"/>
          <w:r>
            <w:rPr>
              <w:rFonts w:hint="eastAsia" w:ascii="仿宋_GB2312" w:hAnsi="仿宋_GB2312" w:eastAsia="仿宋_GB2312" w:cs="仿宋_GB2312"/>
              <w:b/>
              <w:bCs/>
              <w:sz w:val="28"/>
              <w:szCs w:val="28"/>
            </w:rPr>
            <w:t>40</w:t>
          </w:r>
          <w:bookmarkEnd w:id="14"/>
          <w:r>
            <w:rPr>
              <w:rFonts w:hint="eastAsia" w:ascii="仿宋_GB2312" w:hAnsi="仿宋_GB2312" w:eastAsia="仿宋_GB2312" w:cs="仿宋_GB2312"/>
              <w:b/>
              <w:bCs/>
              <w:sz w:val="28"/>
              <w:szCs w:val="28"/>
            </w:rPr>
            <w:fldChar w:fldCharType="end"/>
          </w:r>
          <w:bookmarkEnd w:id="0"/>
        </w:p>
      </w:sdtContent>
    </w:sdt>
    <w:p w14:paraId="46B9D937">
      <w:pPr>
        <w:pStyle w:val="45"/>
        <w:rPr>
          <w:rFonts w:hint="eastAsia"/>
        </w:rPr>
      </w:pPr>
    </w:p>
    <w:p w14:paraId="1B883F51">
      <w:pPr>
        <w:spacing w:line="300" w:lineRule="auto"/>
        <w:jc w:val="center"/>
        <w:rPr>
          <w:rFonts w:hint="eastAsia" w:ascii="黑体" w:hAnsi="黑体" w:eastAsia="黑体"/>
          <w:b/>
          <w:color w:val="000000"/>
          <w:sz w:val="36"/>
          <w:szCs w:val="36"/>
        </w:rPr>
        <w:sectPr>
          <w:footerReference r:id="rId4" w:type="default"/>
          <w:pgSz w:w="11906" w:h="16838"/>
          <w:pgMar w:top="1440" w:right="1466" w:bottom="1440" w:left="1440" w:header="851" w:footer="992" w:gutter="0"/>
          <w:pgNumType w:fmt="decimal" w:start="1"/>
          <w:cols w:space="720" w:num="1"/>
          <w:docGrid w:type="linesAndChars" w:linePitch="312" w:charSpace="0"/>
        </w:sectPr>
      </w:pPr>
      <w:bookmarkStart w:id="15" w:name="_Toc18900_WPSOffice_Level1"/>
    </w:p>
    <w:p w14:paraId="51B57767">
      <w:pPr>
        <w:spacing w:line="300" w:lineRule="auto"/>
        <w:jc w:val="center"/>
        <w:rPr>
          <w:rFonts w:hint="eastAsia" w:ascii="黑体" w:hAnsi="黑体" w:eastAsia="黑体"/>
          <w:b/>
          <w:color w:val="000000"/>
          <w:sz w:val="36"/>
          <w:szCs w:val="36"/>
        </w:rPr>
      </w:pPr>
      <w:bookmarkStart w:id="16" w:name="_Toc5950_WPSOffice_Level1"/>
      <w:r>
        <w:rPr>
          <w:rFonts w:hint="eastAsia" w:ascii="黑体" w:hAnsi="黑体" w:eastAsia="黑体"/>
          <w:b/>
          <w:color w:val="000000"/>
          <w:sz w:val="36"/>
          <w:szCs w:val="36"/>
        </w:rPr>
        <w:t>第一章</w:t>
      </w:r>
      <w:r>
        <w:rPr>
          <w:rFonts w:ascii="黑体" w:hAnsi="黑体" w:eastAsia="黑体"/>
          <w:b/>
          <w:color w:val="000000"/>
          <w:sz w:val="36"/>
          <w:szCs w:val="36"/>
        </w:rPr>
        <w:t xml:space="preserve"> </w:t>
      </w:r>
      <w:bookmarkStart w:id="17" w:name="_Toc446434284"/>
      <w:bookmarkEnd w:id="17"/>
      <w:r>
        <w:rPr>
          <w:rFonts w:hint="eastAsia" w:ascii="黑体" w:hAnsi="黑体" w:eastAsia="黑体"/>
          <w:b/>
          <w:color w:val="000000"/>
          <w:sz w:val="36"/>
          <w:szCs w:val="36"/>
        </w:rPr>
        <w:t xml:space="preserve">  招标公告</w:t>
      </w:r>
      <w:bookmarkEnd w:id="15"/>
      <w:bookmarkEnd w:id="16"/>
    </w:p>
    <w:p w14:paraId="22187E05">
      <w:pPr>
        <w:widowControl w:val="0"/>
        <w:spacing w:line="360" w:lineRule="auto"/>
        <w:rPr>
          <w:rFonts w:cs="Times New Roman"/>
          <w:b/>
          <w:bCs/>
          <w:kern w:val="2"/>
          <w:szCs w:val="22"/>
        </w:rPr>
      </w:pPr>
      <w:r>
        <w:rPr>
          <w:rFonts w:cs="Times New Roman"/>
          <w:b/>
          <w:bCs/>
          <w:kern w:val="2"/>
          <w:szCs w:val="22"/>
        </w:rPr>
        <w:t>一、</w:t>
      </w:r>
      <w:r>
        <w:rPr>
          <w:rFonts w:hint="eastAsia" w:cs="Times New Roman"/>
          <w:b/>
          <w:bCs/>
          <w:kern w:val="2"/>
          <w:szCs w:val="22"/>
        </w:rPr>
        <w:t>招标</w:t>
      </w:r>
      <w:r>
        <w:rPr>
          <w:rFonts w:cs="Times New Roman"/>
          <w:b/>
          <w:bCs/>
          <w:kern w:val="2"/>
          <w:szCs w:val="22"/>
        </w:rPr>
        <w:t>编号：</w:t>
      </w:r>
      <w:r>
        <w:rPr>
          <w:rFonts w:hint="eastAsia" w:cs="Times New Roman"/>
          <w:b/>
          <w:bCs/>
          <w:kern w:val="2"/>
          <w:szCs w:val="22"/>
        </w:rPr>
        <w:t>1171260618001</w:t>
      </w:r>
      <w:bookmarkStart w:id="205" w:name="_GoBack"/>
      <w:bookmarkEnd w:id="205"/>
    </w:p>
    <w:p w14:paraId="5C7077FC">
      <w:pPr>
        <w:widowControl w:val="0"/>
        <w:spacing w:line="360" w:lineRule="auto"/>
        <w:rPr>
          <w:rFonts w:hint="eastAsia" w:eastAsia="宋体" w:cs="Times New Roman"/>
          <w:b/>
          <w:bCs/>
          <w:kern w:val="2"/>
          <w:szCs w:val="22"/>
          <w:lang w:eastAsia="zh-CN"/>
        </w:rPr>
      </w:pPr>
      <w:r>
        <w:rPr>
          <w:rFonts w:cs="Times New Roman"/>
          <w:b/>
          <w:bCs/>
          <w:kern w:val="2"/>
          <w:szCs w:val="22"/>
        </w:rPr>
        <w:t>二、</w:t>
      </w:r>
      <w:r>
        <w:rPr>
          <w:rFonts w:hint="eastAsia" w:cs="Times New Roman"/>
          <w:b/>
          <w:bCs/>
          <w:kern w:val="2"/>
          <w:szCs w:val="22"/>
        </w:rPr>
        <w:t>招标项目</w:t>
      </w:r>
      <w:r>
        <w:rPr>
          <w:rFonts w:cs="Times New Roman"/>
          <w:b/>
          <w:bCs/>
          <w:kern w:val="2"/>
          <w:szCs w:val="22"/>
        </w:rPr>
        <w:t>名称：</w:t>
      </w:r>
      <w:r>
        <w:rPr>
          <w:rFonts w:hint="eastAsia" w:cs="Times New Roman"/>
          <w:b/>
          <w:bCs/>
          <w:kern w:val="2"/>
          <w:szCs w:val="22"/>
          <w:lang w:eastAsia="zh-CN"/>
        </w:rPr>
        <w:t>2026年-2029年高压电机维修保养服务</w:t>
      </w:r>
    </w:p>
    <w:p w14:paraId="6BD5985A">
      <w:pPr>
        <w:widowControl w:val="0"/>
        <w:spacing w:line="360" w:lineRule="auto"/>
        <w:rPr>
          <w:rFonts w:hint="eastAsia" w:cs="Times New Roman"/>
          <w:b/>
          <w:bCs/>
          <w:kern w:val="2"/>
          <w:szCs w:val="22"/>
          <w:lang w:val="zh-CN"/>
        </w:rPr>
      </w:pPr>
      <w:r>
        <w:rPr>
          <w:rFonts w:hint="eastAsia" w:cs="Times New Roman"/>
          <w:b/>
          <w:bCs/>
          <w:kern w:val="2"/>
          <w:szCs w:val="22"/>
        </w:rPr>
        <w:t>三、</w:t>
      </w:r>
      <w:r>
        <w:rPr>
          <w:rFonts w:hint="eastAsia" w:cs="Times New Roman"/>
          <w:b/>
          <w:bCs/>
          <w:kern w:val="2"/>
          <w:szCs w:val="22"/>
          <w:lang w:val="zh-CN"/>
        </w:rPr>
        <w:t>项目概况与范围</w:t>
      </w:r>
    </w:p>
    <w:p w14:paraId="4A14A159">
      <w:pPr>
        <w:spacing w:line="360" w:lineRule="auto"/>
        <w:ind w:firstLine="480" w:firstLineChars="200"/>
        <w:rPr>
          <w:rFonts w:hint="eastAsia"/>
          <w:lang w:val="en-US" w:eastAsia="zh-CN"/>
        </w:rPr>
      </w:pPr>
      <w:r>
        <w:rPr>
          <w:rFonts w:hint="eastAsia"/>
          <w:lang w:val="en-US" w:eastAsia="zh-CN"/>
        </w:rPr>
        <w:t>1、山东济钢环保新材料有限公司现有10kV高压电机16台，现对其2026年-2029年期间的维修服务进行招标。</w:t>
      </w:r>
    </w:p>
    <w:tbl>
      <w:tblPr>
        <w:tblStyle w:val="47"/>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940"/>
        <w:gridCol w:w="507"/>
        <w:gridCol w:w="6074"/>
        <w:gridCol w:w="811"/>
      </w:tblGrid>
      <w:tr w14:paraId="4B32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8935" w:type="dxa"/>
            <w:gridSpan w:val="5"/>
            <w:vAlign w:val="center"/>
          </w:tcPr>
          <w:p w14:paraId="03E87F49">
            <w:pPr>
              <w:numPr>
                <w:ilvl w:val="0"/>
                <w:numId w:val="0"/>
              </w:numPr>
              <w:jc w:val="center"/>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现有高压</w:t>
            </w:r>
            <w:r>
              <w:rPr>
                <w:rFonts w:hint="eastAsia" w:ascii="宋体" w:hAnsi="宋体" w:eastAsia="宋体" w:cs="宋体"/>
                <w:sz w:val="24"/>
                <w:szCs w:val="24"/>
                <w:vertAlign w:val="baseline"/>
                <w:lang w:val="en-US" w:eastAsia="zh-CN"/>
              </w:rPr>
              <w:t>电机清单</w:t>
            </w:r>
          </w:p>
        </w:tc>
      </w:tr>
      <w:tr w14:paraId="5301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shd w:val="clear" w:color="auto" w:fill="auto"/>
            <w:vAlign w:val="center"/>
          </w:tcPr>
          <w:p w14:paraId="2CA51AC3">
            <w:pPr>
              <w:numPr>
                <w:ilvl w:val="0"/>
                <w:numId w:val="0"/>
              </w:numPr>
              <w:ind w:left="0" w:leftChars="0" w:firstLine="0" w:firstLineChars="0"/>
              <w:jc w:val="center"/>
              <w:rPr>
                <w:rFonts w:hint="eastAsia" w:ascii="宋体" w:hAnsi="宋体" w:eastAsia="宋体" w:cs="宋体"/>
                <w:sz w:val="24"/>
                <w:szCs w:val="24"/>
                <w:vertAlign w:val="baseline"/>
                <w:lang w:val="en-US" w:eastAsia="zh-CN" w:bidi="ar-SA"/>
              </w:rPr>
            </w:pPr>
            <w:r>
              <w:rPr>
                <w:rFonts w:hint="eastAsia" w:ascii="宋体" w:hAnsi="宋体" w:eastAsia="宋体" w:cs="宋体"/>
                <w:sz w:val="24"/>
                <w:szCs w:val="24"/>
                <w:vertAlign w:val="baseline"/>
                <w:lang w:val="en-US" w:eastAsia="zh-CN"/>
              </w:rPr>
              <w:t>序号</w:t>
            </w:r>
          </w:p>
        </w:tc>
        <w:tc>
          <w:tcPr>
            <w:tcW w:w="940" w:type="dxa"/>
            <w:shd w:val="clear" w:color="auto" w:fill="auto"/>
            <w:vAlign w:val="center"/>
          </w:tcPr>
          <w:p w14:paraId="498BF9FB">
            <w:pPr>
              <w:numPr>
                <w:ilvl w:val="0"/>
                <w:numId w:val="0"/>
              </w:numPr>
              <w:ind w:left="0" w:leftChars="0" w:firstLine="0" w:firstLineChars="0"/>
              <w:jc w:val="center"/>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名称</w:t>
            </w:r>
          </w:p>
        </w:tc>
        <w:tc>
          <w:tcPr>
            <w:tcW w:w="507" w:type="dxa"/>
            <w:shd w:val="clear" w:color="auto" w:fill="auto"/>
            <w:vAlign w:val="center"/>
          </w:tcPr>
          <w:p w14:paraId="365852D5">
            <w:pPr>
              <w:numPr>
                <w:ilvl w:val="0"/>
                <w:numId w:val="0"/>
              </w:numPr>
              <w:ind w:left="0" w:leftChars="0" w:firstLine="0" w:firstLineChars="0"/>
              <w:jc w:val="center"/>
              <w:rPr>
                <w:rFonts w:hint="eastAsia" w:ascii="宋体" w:hAnsi="宋体" w:eastAsia="宋体" w:cs="宋体"/>
                <w:sz w:val="24"/>
                <w:szCs w:val="24"/>
                <w:vertAlign w:val="baseline"/>
                <w:lang w:val="en-US" w:eastAsia="zh-CN" w:bidi="ar-SA"/>
              </w:rPr>
            </w:pPr>
            <w:r>
              <w:rPr>
                <w:rFonts w:hint="eastAsia" w:ascii="宋体" w:hAnsi="宋体" w:eastAsia="宋体" w:cs="宋体"/>
                <w:sz w:val="24"/>
                <w:szCs w:val="24"/>
                <w:vertAlign w:val="baseline"/>
                <w:lang w:val="en-US" w:eastAsia="zh-CN"/>
              </w:rPr>
              <w:t>数量</w:t>
            </w:r>
          </w:p>
        </w:tc>
        <w:tc>
          <w:tcPr>
            <w:tcW w:w="6074" w:type="dxa"/>
            <w:shd w:val="clear" w:color="auto" w:fill="auto"/>
            <w:vAlign w:val="center"/>
          </w:tcPr>
          <w:p w14:paraId="438BFF43">
            <w:pPr>
              <w:numPr>
                <w:ilvl w:val="0"/>
                <w:numId w:val="0"/>
              </w:numPr>
              <w:ind w:left="0" w:leftChars="0" w:firstLine="0" w:firstLineChars="0"/>
              <w:jc w:val="center"/>
              <w:rPr>
                <w:rFonts w:hint="eastAsia" w:ascii="宋体" w:hAnsi="宋体" w:eastAsia="宋体" w:cs="宋体"/>
                <w:sz w:val="24"/>
                <w:szCs w:val="24"/>
                <w:vertAlign w:val="baseline"/>
                <w:lang w:val="en-US" w:eastAsia="zh-CN" w:bidi="ar-SA"/>
              </w:rPr>
            </w:pPr>
            <w:r>
              <w:rPr>
                <w:rFonts w:hint="eastAsia" w:ascii="宋体" w:hAnsi="宋体" w:eastAsia="宋体" w:cs="宋体"/>
                <w:sz w:val="24"/>
                <w:szCs w:val="24"/>
                <w:vertAlign w:val="baseline"/>
                <w:lang w:val="en-US" w:eastAsia="zh-CN"/>
              </w:rPr>
              <w:t>铭牌</w:t>
            </w:r>
          </w:p>
        </w:tc>
        <w:tc>
          <w:tcPr>
            <w:tcW w:w="811" w:type="dxa"/>
            <w:shd w:val="clear" w:color="auto" w:fill="auto"/>
            <w:vAlign w:val="center"/>
          </w:tcPr>
          <w:p w14:paraId="6D8501E8">
            <w:pPr>
              <w:numPr>
                <w:ilvl w:val="0"/>
                <w:numId w:val="0"/>
              </w:numPr>
              <w:ind w:left="0" w:leftChars="0" w:firstLine="0" w:firstLineChars="0"/>
              <w:jc w:val="center"/>
              <w:rPr>
                <w:rFonts w:hint="eastAsia" w:ascii="宋体" w:hAnsi="宋体" w:eastAsia="宋体" w:cs="宋体"/>
                <w:sz w:val="24"/>
                <w:szCs w:val="24"/>
                <w:vertAlign w:val="baseline"/>
                <w:lang w:val="en-US" w:eastAsia="zh-CN" w:bidi="ar-SA"/>
              </w:rPr>
            </w:pPr>
            <w:r>
              <w:rPr>
                <w:rFonts w:hint="eastAsia" w:ascii="宋体" w:hAnsi="宋体" w:eastAsia="宋体" w:cs="宋体"/>
                <w:sz w:val="24"/>
                <w:szCs w:val="24"/>
                <w:vertAlign w:val="baseline"/>
                <w:lang w:val="en-US" w:eastAsia="zh-CN"/>
              </w:rPr>
              <w:t>备注</w:t>
            </w:r>
          </w:p>
        </w:tc>
      </w:tr>
      <w:tr w14:paraId="4CC2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7" w:hRule="atLeast"/>
          <w:jc w:val="center"/>
        </w:trPr>
        <w:tc>
          <w:tcPr>
            <w:tcW w:w="603" w:type="dxa"/>
            <w:vAlign w:val="center"/>
          </w:tcPr>
          <w:p w14:paraId="4C4F3DCC">
            <w:pPr>
              <w:numPr>
                <w:ilvl w:val="0"/>
                <w:numId w:val="2"/>
              </w:numPr>
              <w:ind w:left="0" w:leftChars="0" w:firstLine="0" w:firstLineChars="0"/>
              <w:jc w:val="both"/>
              <w:rPr>
                <w:rFonts w:hint="eastAsia" w:ascii="宋体" w:hAnsi="宋体" w:eastAsia="宋体" w:cs="宋体"/>
                <w:sz w:val="24"/>
                <w:szCs w:val="24"/>
                <w:vertAlign w:val="baseline"/>
                <w:lang w:val="en-US" w:eastAsia="zh-CN"/>
              </w:rPr>
            </w:pPr>
          </w:p>
        </w:tc>
        <w:tc>
          <w:tcPr>
            <w:tcW w:w="940" w:type="dxa"/>
            <w:shd w:val="clear" w:color="auto" w:fill="auto"/>
            <w:vAlign w:val="center"/>
          </w:tcPr>
          <w:p w14:paraId="1A0E3FDE">
            <w:pPr>
              <w:numPr>
                <w:ilvl w:val="0"/>
                <w:numId w:val="0"/>
              </w:numPr>
              <w:ind w:left="0" w:leftChars="0" w:firstLine="0" w:firstLineChars="0"/>
              <w:jc w:val="both"/>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一破破碎机电机（一）</w:t>
            </w:r>
          </w:p>
        </w:tc>
        <w:tc>
          <w:tcPr>
            <w:tcW w:w="507" w:type="dxa"/>
            <w:vAlign w:val="center"/>
          </w:tcPr>
          <w:p w14:paraId="432D050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6074" w:type="dxa"/>
          </w:tcPr>
          <w:p w14:paraId="459A53A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3360420" cy="2520315"/>
                  <wp:effectExtent l="0" t="0" r="5080" b="6985"/>
                  <wp:docPr id="5" name="图片 1" descr="2fbfc268220d402a2695167664f7f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2fbfc268220d402a2695167664f7f76"/>
                          <pic:cNvPicPr>
                            <a:picLocks noChangeAspect="1"/>
                          </pic:cNvPicPr>
                        </pic:nvPicPr>
                        <pic:blipFill>
                          <a:blip r:embed="rId10"/>
                          <a:stretch>
                            <a:fillRect/>
                          </a:stretch>
                        </pic:blipFill>
                        <pic:spPr>
                          <a:xfrm>
                            <a:off x="0" y="0"/>
                            <a:ext cx="3360420" cy="2520315"/>
                          </a:xfrm>
                          <a:prstGeom prst="rect">
                            <a:avLst/>
                          </a:prstGeom>
                          <a:noFill/>
                          <a:ln>
                            <a:noFill/>
                          </a:ln>
                        </pic:spPr>
                      </pic:pic>
                    </a:graphicData>
                  </a:graphic>
                </wp:inline>
              </w:drawing>
            </w:r>
          </w:p>
        </w:tc>
        <w:tc>
          <w:tcPr>
            <w:tcW w:w="811" w:type="dxa"/>
            <w:vAlign w:val="center"/>
          </w:tcPr>
          <w:p w14:paraId="148F8AD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滑动轴承、绕线式、带差动CT</w:t>
            </w:r>
          </w:p>
        </w:tc>
      </w:tr>
      <w:tr w14:paraId="398C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7" w:hRule="atLeast"/>
          <w:jc w:val="center"/>
        </w:trPr>
        <w:tc>
          <w:tcPr>
            <w:tcW w:w="603" w:type="dxa"/>
            <w:vAlign w:val="center"/>
          </w:tcPr>
          <w:p w14:paraId="33490C32">
            <w:pPr>
              <w:numPr>
                <w:ilvl w:val="0"/>
                <w:numId w:val="2"/>
              </w:numPr>
              <w:ind w:left="0" w:leftChars="0" w:firstLine="0" w:firstLineChars="0"/>
              <w:jc w:val="both"/>
              <w:rPr>
                <w:rFonts w:hint="eastAsia" w:ascii="宋体" w:hAnsi="宋体" w:eastAsia="宋体" w:cs="宋体"/>
                <w:sz w:val="24"/>
                <w:szCs w:val="24"/>
                <w:vertAlign w:val="baseline"/>
                <w:lang w:val="en-US" w:eastAsia="zh-CN"/>
              </w:rPr>
            </w:pPr>
          </w:p>
        </w:tc>
        <w:tc>
          <w:tcPr>
            <w:tcW w:w="940" w:type="dxa"/>
            <w:shd w:val="clear" w:color="auto" w:fill="auto"/>
            <w:vAlign w:val="center"/>
          </w:tcPr>
          <w:p w14:paraId="70C6CF07">
            <w:pPr>
              <w:numPr>
                <w:ilvl w:val="0"/>
                <w:numId w:val="0"/>
              </w:numPr>
              <w:ind w:left="0" w:leftChars="0" w:firstLine="0" w:firstLineChars="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一破破碎机电机（二）</w:t>
            </w:r>
          </w:p>
        </w:tc>
        <w:tc>
          <w:tcPr>
            <w:tcW w:w="507" w:type="dxa"/>
            <w:vAlign w:val="center"/>
          </w:tcPr>
          <w:p w14:paraId="112C728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6074" w:type="dxa"/>
          </w:tcPr>
          <w:p w14:paraId="71D979DB">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2522220" cy="2535555"/>
                  <wp:effectExtent l="0" t="0" r="5080" b="4445"/>
                  <wp:docPr id="22" name="图片 15" descr="a2378c822a21e99e764d78ff4c22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descr="a2378c822a21e99e764d78ff4c226c9"/>
                          <pic:cNvPicPr>
                            <a:picLocks noChangeAspect="1"/>
                          </pic:cNvPicPr>
                        </pic:nvPicPr>
                        <pic:blipFill>
                          <a:blip r:embed="rId11"/>
                          <a:srcRect t="25980" r="1803"/>
                          <a:stretch>
                            <a:fillRect/>
                          </a:stretch>
                        </pic:blipFill>
                        <pic:spPr>
                          <a:xfrm>
                            <a:off x="0" y="0"/>
                            <a:ext cx="2522220" cy="2535555"/>
                          </a:xfrm>
                          <a:prstGeom prst="rect">
                            <a:avLst/>
                          </a:prstGeom>
                          <a:noFill/>
                          <a:ln>
                            <a:noFill/>
                          </a:ln>
                        </pic:spPr>
                      </pic:pic>
                    </a:graphicData>
                  </a:graphic>
                </wp:inline>
              </w:drawing>
            </w:r>
          </w:p>
        </w:tc>
        <w:tc>
          <w:tcPr>
            <w:tcW w:w="811" w:type="dxa"/>
            <w:vAlign w:val="center"/>
          </w:tcPr>
          <w:p w14:paraId="0A09715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滑动轴承、绕线式、带差动CT</w:t>
            </w:r>
          </w:p>
        </w:tc>
      </w:tr>
      <w:tr w14:paraId="0DAA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vAlign w:val="center"/>
          </w:tcPr>
          <w:p w14:paraId="62D6972E">
            <w:pPr>
              <w:numPr>
                <w:ilvl w:val="0"/>
                <w:numId w:val="2"/>
              </w:numPr>
              <w:ind w:left="0" w:leftChars="0" w:firstLine="0" w:firstLineChars="0"/>
              <w:jc w:val="center"/>
              <w:rPr>
                <w:rFonts w:hint="eastAsia" w:ascii="宋体" w:hAnsi="宋体" w:eastAsia="宋体" w:cs="宋体"/>
                <w:sz w:val="24"/>
                <w:szCs w:val="24"/>
                <w:vertAlign w:val="baseline"/>
                <w:lang w:val="en-US" w:eastAsia="zh-CN"/>
              </w:rPr>
            </w:pPr>
          </w:p>
        </w:tc>
        <w:tc>
          <w:tcPr>
            <w:tcW w:w="940" w:type="dxa"/>
            <w:vAlign w:val="center"/>
          </w:tcPr>
          <w:p w14:paraId="5DCF6305">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大皮带电机（一）</w:t>
            </w:r>
          </w:p>
        </w:tc>
        <w:tc>
          <w:tcPr>
            <w:tcW w:w="507" w:type="dxa"/>
            <w:vAlign w:val="center"/>
          </w:tcPr>
          <w:p w14:paraId="1BD77EE8">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6074" w:type="dxa"/>
            <w:vAlign w:val="center"/>
          </w:tcPr>
          <w:p w14:paraId="7CC3450E">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drawing>
                <wp:inline distT="0" distB="0" distL="114300" distR="114300">
                  <wp:extent cx="3776980" cy="2832735"/>
                  <wp:effectExtent l="0" t="0" r="7620" b="12065"/>
                  <wp:docPr id="19" name="图片 19" descr="大皮带高压电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大皮带高压电机"/>
                          <pic:cNvPicPr>
                            <a:picLocks noChangeAspect="1"/>
                          </pic:cNvPicPr>
                        </pic:nvPicPr>
                        <pic:blipFill>
                          <a:blip r:embed="rId12"/>
                          <a:stretch>
                            <a:fillRect/>
                          </a:stretch>
                        </pic:blipFill>
                        <pic:spPr>
                          <a:xfrm rot="10800000">
                            <a:off x="0" y="0"/>
                            <a:ext cx="3776980" cy="2832735"/>
                          </a:xfrm>
                          <a:prstGeom prst="rect">
                            <a:avLst/>
                          </a:prstGeom>
                        </pic:spPr>
                      </pic:pic>
                    </a:graphicData>
                  </a:graphic>
                </wp:inline>
              </w:drawing>
            </w:r>
          </w:p>
        </w:tc>
        <w:tc>
          <w:tcPr>
            <w:tcW w:w="811" w:type="dxa"/>
            <w:vAlign w:val="center"/>
          </w:tcPr>
          <w:p w14:paraId="19106211">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滚动轴承、鼠笼式、变频电机</w:t>
            </w:r>
          </w:p>
        </w:tc>
      </w:tr>
      <w:tr w14:paraId="56B7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vAlign w:val="center"/>
          </w:tcPr>
          <w:p w14:paraId="3E2296D9">
            <w:pPr>
              <w:numPr>
                <w:ilvl w:val="0"/>
                <w:numId w:val="2"/>
              </w:numPr>
              <w:ind w:left="0" w:leftChars="0" w:firstLine="0" w:firstLineChars="0"/>
              <w:jc w:val="center"/>
              <w:rPr>
                <w:rFonts w:hint="eastAsia" w:ascii="宋体" w:hAnsi="宋体" w:eastAsia="宋体" w:cs="宋体"/>
                <w:sz w:val="24"/>
                <w:szCs w:val="24"/>
                <w:vertAlign w:val="baseline"/>
                <w:lang w:val="en-US" w:eastAsia="zh-CN"/>
              </w:rPr>
            </w:pPr>
          </w:p>
        </w:tc>
        <w:tc>
          <w:tcPr>
            <w:tcW w:w="940" w:type="dxa"/>
            <w:vAlign w:val="center"/>
          </w:tcPr>
          <w:p w14:paraId="4B047E06">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大皮带电机（二）</w:t>
            </w:r>
          </w:p>
        </w:tc>
        <w:tc>
          <w:tcPr>
            <w:tcW w:w="507" w:type="dxa"/>
            <w:vAlign w:val="center"/>
          </w:tcPr>
          <w:p w14:paraId="2BCC141D">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6074" w:type="dxa"/>
            <w:vAlign w:val="center"/>
          </w:tcPr>
          <w:p w14:paraId="1422ACE2">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2623185" cy="2959100"/>
                  <wp:effectExtent l="0" t="0" r="5715" b="0"/>
                  <wp:docPr id="23" name="图片 16" descr="769082e97f41178fc7bb7915900e5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descr="769082e97f41178fc7bb7915900e5d4"/>
                          <pic:cNvPicPr>
                            <a:picLocks noChangeAspect="1"/>
                          </pic:cNvPicPr>
                        </pic:nvPicPr>
                        <pic:blipFill>
                          <a:blip r:embed="rId13"/>
                          <a:srcRect l="19959" t="1100" r="14281"/>
                          <a:stretch>
                            <a:fillRect/>
                          </a:stretch>
                        </pic:blipFill>
                        <pic:spPr>
                          <a:xfrm>
                            <a:off x="0" y="0"/>
                            <a:ext cx="2623185" cy="2959100"/>
                          </a:xfrm>
                          <a:prstGeom prst="rect">
                            <a:avLst/>
                          </a:prstGeom>
                          <a:noFill/>
                          <a:ln>
                            <a:noFill/>
                          </a:ln>
                        </pic:spPr>
                      </pic:pic>
                    </a:graphicData>
                  </a:graphic>
                </wp:inline>
              </w:drawing>
            </w:r>
            <w:r>
              <w:rPr>
                <w:rFonts w:hint="eastAsia" w:ascii="宋体" w:hAnsi="宋体" w:eastAsia="宋体" w:cs="宋体"/>
                <w:sz w:val="24"/>
                <w:szCs w:val="24"/>
                <w:lang w:val="en-US" w:eastAsia="zh-CN"/>
              </w:rPr>
              <w:drawing>
                <wp:inline distT="0" distB="0" distL="114300" distR="114300">
                  <wp:extent cx="2894965" cy="2265680"/>
                  <wp:effectExtent l="0" t="0" r="635" b="7620"/>
                  <wp:docPr id="24" name="图片 17" descr="abe7c1f47ddcd445ca08f3b2112d5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descr="abe7c1f47ddcd445ca08f3b2112d5ce"/>
                          <pic:cNvPicPr>
                            <a:picLocks noChangeAspect="1"/>
                          </pic:cNvPicPr>
                        </pic:nvPicPr>
                        <pic:blipFill>
                          <a:blip r:embed="rId14"/>
                          <a:srcRect l="26103" t="-1044" r="1912" b="25933"/>
                          <a:stretch>
                            <a:fillRect/>
                          </a:stretch>
                        </pic:blipFill>
                        <pic:spPr>
                          <a:xfrm>
                            <a:off x="0" y="0"/>
                            <a:ext cx="2894965" cy="2265680"/>
                          </a:xfrm>
                          <a:prstGeom prst="rect">
                            <a:avLst/>
                          </a:prstGeom>
                          <a:noFill/>
                          <a:ln>
                            <a:noFill/>
                          </a:ln>
                        </pic:spPr>
                      </pic:pic>
                    </a:graphicData>
                  </a:graphic>
                </wp:inline>
              </w:drawing>
            </w:r>
          </w:p>
        </w:tc>
        <w:tc>
          <w:tcPr>
            <w:tcW w:w="811" w:type="dxa"/>
            <w:vAlign w:val="center"/>
          </w:tcPr>
          <w:p w14:paraId="5FD5E3D0">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滚动轴承、鼠笼式、变频电机</w:t>
            </w:r>
          </w:p>
        </w:tc>
      </w:tr>
      <w:tr w14:paraId="2980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vAlign w:val="center"/>
          </w:tcPr>
          <w:p w14:paraId="0E97D4F0">
            <w:pPr>
              <w:numPr>
                <w:ilvl w:val="0"/>
                <w:numId w:val="2"/>
              </w:numPr>
              <w:ind w:left="0" w:leftChars="0" w:firstLine="0" w:firstLineChars="0"/>
              <w:jc w:val="center"/>
              <w:rPr>
                <w:rFonts w:hint="eastAsia" w:ascii="宋体" w:hAnsi="宋体" w:eastAsia="宋体" w:cs="宋体"/>
                <w:sz w:val="24"/>
                <w:szCs w:val="24"/>
                <w:vertAlign w:val="baseline"/>
                <w:lang w:val="en-US" w:eastAsia="zh-CN"/>
              </w:rPr>
            </w:pPr>
          </w:p>
        </w:tc>
        <w:tc>
          <w:tcPr>
            <w:tcW w:w="940" w:type="dxa"/>
            <w:vAlign w:val="center"/>
          </w:tcPr>
          <w:p w14:paraId="079FB2FB">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机制砂收尘风机电机</w:t>
            </w:r>
          </w:p>
        </w:tc>
        <w:tc>
          <w:tcPr>
            <w:tcW w:w="507" w:type="dxa"/>
            <w:vAlign w:val="center"/>
          </w:tcPr>
          <w:p w14:paraId="458C29D4">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6074" w:type="dxa"/>
            <w:vAlign w:val="center"/>
          </w:tcPr>
          <w:p w14:paraId="616B066B">
            <w:pPr>
              <w:numPr>
                <w:ilvl w:val="0"/>
                <w:numId w:val="0"/>
              </w:numPr>
              <w:ind w:left="0" w:leftChars="0" w:firstLine="0" w:firstLineChars="0"/>
              <w:jc w:val="center"/>
              <w:rPr>
                <w:rFonts w:hint="eastAsia" w:ascii="宋体" w:hAnsi="宋体" w:eastAsia="宋体" w:cs="宋体"/>
                <w:sz w:val="24"/>
                <w:szCs w:val="24"/>
                <w:lang w:val="en-US" w:eastAsia="zh-CN"/>
              </w:rPr>
            </w:pPr>
          </w:p>
          <w:p w14:paraId="577C589F">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3759835" cy="2520315"/>
                  <wp:effectExtent l="0" t="0" r="12065" b="6985"/>
                  <wp:docPr id="7" name="图片 5" descr="114b0cf2cb5982b0ad922eae9532f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114b0cf2cb5982b0ad922eae9532f5e"/>
                          <pic:cNvPicPr>
                            <a:picLocks noChangeAspect="1"/>
                          </pic:cNvPicPr>
                        </pic:nvPicPr>
                        <pic:blipFill>
                          <a:blip r:embed="rId15"/>
                          <a:srcRect l="15645" t="13159" r="26695" b="18174"/>
                          <a:stretch>
                            <a:fillRect/>
                          </a:stretch>
                        </pic:blipFill>
                        <pic:spPr>
                          <a:xfrm>
                            <a:off x="0" y="0"/>
                            <a:ext cx="3759835" cy="2520315"/>
                          </a:xfrm>
                          <a:prstGeom prst="rect">
                            <a:avLst/>
                          </a:prstGeom>
                          <a:noFill/>
                          <a:ln>
                            <a:noFill/>
                          </a:ln>
                        </pic:spPr>
                      </pic:pic>
                    </a:graphicData>
                  </a:graphic>
                </wp:inline>
              </w:drawing>
            </w:r>
          </w:p>
        </w:tc>
        <w:tc>
          <w:tcPr>
            <w:tcW w:w="811" w:type="dxa"/>
            <w:vAlign w:val="center"/>
          </w:tcPr>
          <w:p w14:paraId="1869B40E">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滚动轴承、鼠笼式</w:t>
            </w:r>
          </w:p>
        </w:tc>
      </w:tr>
      <w:tr w14:paraId="4443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vAlign w:val="center"/>
          </w:tcPr>
          <w:p w14:paraId="01C713AF">
            <w:pPr>
              <w:numPr>
                <w:ilvl w:val="0"/>
                <w:numId w:val="2"/>
              </w:numPr>
              <w:ind w:left="0" w:leftChars="0" w:firstLine="0" w:firstLineChars="0"/>
              <w:jc w:val="center"/>
              <w:rPr>
                <w:rFonts w:hint="eastAsia" w:ascii="宋体" w:hAnsi="宋体" w:eastAsia="宋体" w:cs="宋体"/>
                <w:sz w:val="24"/>
                <w:szCs w:val="24"/>
                <w:vertAlign w:val="baseline"/>
                <w:lang w:val="en-US" w:eastAsia="zh-CN"/>
              </w:rPr>
            </w:pPr>
          </w:p>
        </w:tc>
        <w:tc>
          <w:tcPr>
            <w:tcW w:w="940" w:type="dxa"/>
            <w:vAlign w:val="center"/>
          </w:tcPr>
          <w:p w14:paraId="31EDF2BA">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选粉风机电机</w:t>
            </w:r>
          </w:p>
        </w:tc>
        <w:tc>
          <w:tcPr>
            <w:tcW w:w="507" w:type="dxa"/>
            <w:vAlign w:val="center"/>
          </w:tcPr>
          <w:p w14:paraId="76F61437">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6074" w:type="dxa"/>
            <w:vAlign w:val="center"/>
          </w:tcPr>
          <w:p w14:paraId="2F88F318">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3267710" cy="2520315"/>
                  <wp:effectExtent l="0" t="0" r="8890" b="6985"/>
                  <wp:docPr id="20" name="图片 6" descr="b0207c5489a7bec359a60b2149450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descr="b0207c5489a7bec359a60b2149450b4"/>
                          <pic:cNvPicPr>
                            <a:picLocks noChangeAspect="1"/>
                          </pic:cNvPicPr>
                        </pic:nvPicPr>
                        <pic:blipFill>
                          <a:blip r:embed="rId16"/>
                          <a:srcRect l="6768" t="18936" r="14407"/>
                          <a:stretch>
                            <a:fillRect/>
                          </a:stretch>
                        </pic:blipFill>
                        <pic:spPr>
                          <a:xfrm>
                            <a:off x="0" y="0"/>
                            <a:ext cx="3267710" cy="2520315"/>
                          </a:xfrm>
                          <a:prstGeom prst="rect">
                            <a:avLst/>
                          </a:prstGeom>
                          <a:noFill/>
                          <a:ln>
                            <a:noFill/>
                          </a:ln>
                        </pic:spPr>
                      </pic:pic>
                    </a:graphicData>
                  </a:graphic>
                </wp:inline>
              </w:drawing>
            </w:r>
          </w:p>
        </w:tc>
        <w:tc>
          <w:tcPr>
            <w:tcW w:w="811" w:type="dxa"/>
            <w:vAlign w:val="center"/>
          </w:tcPr>
          <w:p w14:paraId="07065B6A">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滚动轴承、鼠笼式、变频电机</w:t>
            </w:r>
          </w:p>
        </w:tc>
      </w:tr>
      <w:tr w14:paraId="0D6B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vAlign w:val="center"/>
          </w:tcPr>
          <w:p w14:paraId="16009DB4">
            <w:pPr>
              <w:numPr>
                <w:ilvl w:val="0"/>
                <w:numId w:val="2"/>
              </w:numPr>
              <w:ind w:left="0" w:leftChars="0" w:firstLine="0" w:firstLineChars="0"/>
              <w:jc w:val="center"/>
              <w:rPr>
                <w:rFonts w:hint="eastAsia" w:ascii="宋体" w:hAnsi="宋体" w:eastAsia="宋体" w:cs="宋体"/>
                <w:sz w:val="24"/>
                <w:szCs w:val="24"/>
                <w:vertAlign w:val="baseline"/>
                <w:lang w:val="en-US" w:eastAsia="zh-CN"/>
              </w:rPr>
            </w:pPr>
          </w:p>
        </w:tc>
        <w:tc>
          <w:tcPr>
            <w:tcW w:w="940" w:type="dxa"/>
            <w:vAlign w:val="center"/>
          </w:tcPr>
          <w:p w14:paraId="0CB89CDF">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二破破碎机电机（一）</w:t>
            </w:r>
          </w:p>
        </w:tc>
        <w:tc>
          <w:tcPr>
            <w:tcW w:w="507" w:type="dxa"/>
            <w:vAlign w:val="center"/>
          </w:tcPr>
          <w:p w14:paraId="14FEC9DB">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6074" w:type="dxa"/>
            <w:vAlign w:val="center"/>
          </w:tcPr>
          <w:p w14:paraId="63733127">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drawing>
                <wp:inline distT="0" distB="0" distL="114300" distR="114300">
                  <wp:extent cx="3360420" cy="2520315"/>
                  <wp:effectExtent l="0" t="0" r="5080" b="6985"/>
                  <wp:docPr id="21" name="图片 21" descr="2破高压电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破高压电机"/>
                          <pic:cNvPicPr>
                            <a:picLocks noChangeAspect="1"/>
                          </pic:cNvPicPr>
                        </pic:nvPicPr>
                        <pic:blipFill>
                          <a:blip r:embed="rId17"/>
                          <a:stretch>
                            <a:fillRect/>
                          </a:stretch>
                        </pic:blipFill>
                        <pic:spPr>
                          <a:xfrm>
                            <a:off x="0" y="0"/>
                            <a:ext cx="3360420" cy="2520315"/>
                          </a:xfrm>
                          <a:prstGeom prst="rect">
                            <a:avLst/>
                          </a:prstGeom>
                        </pic:spPr>
                      </pic:pic>
                    </a:graphicData>
                  </a:graphic>
                </wp:inline>
              </w:drawing>
            </w:r>
          </w:p>
        </w:tc>
        <w:tc>
          <w:tcPr>
            <w:tcW w:w="811" w:type="dxa"/>
            <w:vAlign w:val="center"/>
          </w:tcPr>
          <w:p w14:paraId="7E3CA286">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滚动轴承、绕线式</w:t>
            </w:r>
          </w:p>
        </w:tc>
      </w:tr>
      <w:tr w14:paraId="23FB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vAlign w:val="center"/>
          </w:tcPr>
          <w:p w14:paraId="110BD172">
            <w:pPr>
              <w:numPr>
                <w:ilvl w:val="0"/>
                <w:numId w:val="2"/>
              </w:numPr>
              <w:ind w:left="0" w:leftChars="0" w:firstLine="0" w:firstLineChars="0"/>
              <w:jc w:val="center"/>
              <w:rPr>
                <w:rFonts w:hint="eastAsia" w:ascii="宋体" w:hAnsi="宋体" w:eastAsia="宋体" w:cs="宋体"/>
                <w:sz w:val="24"/>
                <w:szCs w:val="24"/>
                <w:vertAlign w:val="baseline"/>
                <w:lang w:val="en-US" w:eastAsia="zh-CN"/>
              </w:rPr>
            </w:pPr>
          </w:p>
        </w:tc>
        <w:tc>
          <w:tcPr>
            <w:tcW w:w="940" w:type="dxa"/>
            <w:vAlign w:val="center"/>
          </w:tcPr>
          <w:p w14:paraId="708097E1">
            <w:pPr>
              <w:numPr>
                <w:ilvl w:val="0"/>
                <w:numId w:val="0"/>
              </w:num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二破破碎机电机（二）</w:t>
            </w:r>
          </w:p>
        </w:tc>
        <w:tc>
          <w:tcPr>
            <w:tcW w:w="507" w:type="dxa"/>
            <w:vAlign w:val="center"/>
          </w:tcPr>
          <w:p w14:paraId="00515198">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6074" w:type="dxa"/>
            <w:vAlign w:val="center"/>
          </w:tcPr>
          <w:p w14:paraId="1A326756">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3028950" cy="3571875"/>
                  <wp:effectExtent l="0" t="0" r="6350" b="9525"/>
                  <wp:docPr id="13" name="图片 14" descr="74dfe6d13d681e338d068523854cc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descr="74dfe6d13d681e338d068523854cc98"/>
                          <pic:cNvPicPr>
                            <a:picLocks noChangeAspect="1"/>
                          </pic:cNvPicPr>
                        </pic:nvPicPr>
                        <pic:blipFill>
                          <a:blip r:embed="rId18"/>
                          <a:srcRect t="20479" r="10082"/>
                          <a:stretch>
                            <a:fillRect/>
                          </a:stretch>
                        </pic:blipFill>
                        <pic:spPr>
                          <a:xfrm>
                            <a:off x="0" y="0"/>
                            <a:ext cx="3028950" cy="3571875"/>
                          </a:xfrm>
                          <a:prstGeom prst="rect">
                            <a:avLst/>
                          </a:prstGeom>
                          <a:noFill/>
                          <a:ln>
                            <a:noFill/>
                          </a:ln>
                        </pic:spPr>
                      </pic:pic>
                    </a:graphicData>
                  </a:graphic>
                </wp:inline>
              </w:drawing>
            </w:r>
          </w:p>
        </w:tc>
        <w:tc>
          <w:tcPr>
            <w:tcW w:w="811" w:type="dxa"/>
            <w:vAlign w:val="center"/>
          </w:tcPr>
          <w:p w14:paraId="7A56587C">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滚动轴承、绕线式</w:t>
            </w:r>
          </w:p>
        </w:tc>
      </w:tr>
      <w:tr w14:paraId="1A99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603" w:type="dxa"/>
            <w:vAlign w:val="center"/>
          </w:tcPr>
          <w:p w14:paraId="105C1123">
            <w:pPr>
              <w:numPr>
                <w:ilvl w:val="0"/>
                <w:numId w:val="2"/>
              </w:numPr>
              <w:ind w:left="0" w:leftChars="0" w:firstLine="0" w:firstLineChars="0"/>
              <w:jc w:val="center"/>
              <w:rPr>
                <w:rFonts w:hint="eastAsia" w:ascii="宋体" w:hAnsi="宋体" w:eastAsia="宋体" w:cs="宋体"/>
                <w:sz w:val="24"/>
                <w:szCs w:val="24"/>
                <w:vertAlign w:val="baseline"/>
                <w:lang w:val="en-US" w:eastAsia="zh-CN"/>
              </w:rPr>
            </w:pPr>
          </w:p>
        </w:tc>
        <w:tc>
          <w:tcPr>
            <w:tcW w:w="940" w:type="dxa"/>
            <w:vAlign w:val="center"/>
          </w:tcPr>
          <w:p w14:paraId="66FF9AE7">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固废破碎机电机</w:t>
            </w:r>
          </w:p>
        </w:tc>
        <w:tc>
          <w:tcPr>
            <w:tcW w:w="507" w:type="dxa"/>
            <w:vAlign w:val="center"/>
          </w:tcPr>
          <w:p w14:paraId="15E95D1E">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6074" w:type="dxa"/>
            <w:vAlign w:val="center"/>
          </w:tcPr>
          <w:p w14:paraId="014837F9">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drawing>
                <wp:inline distT="0" distB="0" distL="114300" distR="114300">
                  <wp:extent cx="3039110" cy="3347720"/>
                  <wp:effectExtent l="0" t="0" r="8890" b="5080"/>
                  <wp:docPr id="15" name="图片 13" descr="固废制砂机高压电机500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固废制砂机高压电机500kW"/>
                          <pic:cNvPicPr>
                            <a:picLocks noChangeAspect="1"/>
                          </pic:cNvPicPr>
                        </pic:nvPicPr>
                        <pic:blipFill>
                          <a:blip r:embed="rId19"/>
                          <a:srcRect t="20951" r="4321"/>
                          <a:stretch>
                            <a:fillRect/>
                          </a:stretch>
                        </pic:blipFill>
                        <pic:spPr>
                          <a:xfrm>
                            <a:off x="0" y="0"/>
                            <a:ext cx="3039110" cy="3347720"/>
                          </a:xfrm>
                          <a:prstGeom prst="rect">
                            <a:avLst/>
                          </a:prstGeom>
                          <a:noFill/>
                          <a:ln>
                            <a:noFill/>
                          </a:ln>
                        </pic:spPr>
                      </pic:pic>
                    </a:graphicData>
                  </a:graphic>
                </wp:inline>
              </w:drawing>
            </w:r>
          </w:p>
        </w:tc>
        <w:tc>
          <w:tcPr>
            <w:tcW w:w="811" w:type="dxa"/>
            <w:vAlign w:val="center"/>
          </w:tcPr>
          <w:p w14:paraId="0EA2080B">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滚动轴承、鼠笼式、变频电机</w:t>
            </w:r>
          </w:p>
        </w:tc>
      </w:tr>
    </w:tbl>
    <w:p w14:paraId="01B73B54">
      <w:pPr>
        <w:spacing w:line="360" w:lineRule="auto"/>
        <w:ind w:firstLine="480" w:firstLineChars="200"/>
        <w:rPr>
          <w:rFonts w:hint="eastAsia"/>
          <w:lang w:val="en-US" w:eastAsia="zh-CN"/>
        </w:rPr>
      </w:pPr>
      <w:r>
        <w:rPr>
          <w:rFonts w:hint="eastAsia"/>
          <w:lang w:val="en-US" w:eastAsia="zh-CN"/>
        </w:rPr>
        <w:t>2、</w:t>
      </w:r>
      <w:r>
        <w:rPr>
          <w:rFonts w:hint="default"/>
          <w:lang w:eastAsia="zh-CN"/>
        </w:rPr>
        <w:t>本次招标按照维修部件/内容确定维修单价，待需要维修时按照维修单价据实结算，</w:t>
      </w:r>
      <w:r>
        <w:rPr>
          <w:rFonts w:hint="eastAsia"/>
          <w:lang w:val="en-US" w:eastAsia="zh-CN"/>
        </w:rPr>
        <w:t>合同额为每种电机维修项目单价之和。</w:t>
      </w:r>
    </w:p>
    <w:p w14:paraId="51EE23AC">
      <w:pPr>
        <w:numPr>
          <w:ilvl w:val="0"/>
          <w:numId w:val="0"/>
        </w:numPr>
        <w:tabs>
          <w:tab w:val="left" w:pos="0"/>
        </w:tabs>
        <w:spacing w:line="360" w:lineRule="auto"/>
        <w:ind w:left="0" w:leftChars="0" w:firstLine="480" w:firstLineChars="200"/>
        <w:rPr>
          <w:rFonts w:hint="eastAsia"/>
          <w:lang w:val="en-US" w:eastAsia="zh-CN"/>
        </w:rPr>
      </w:pPr>
      <w:r>
        <w:rPr>
          <w:rFonts w:hint="eastAsia"/>
          <w:lang w:val="en-US" w:eastAsia="zh-CN"/>
        </w:rPr>
        <w:t>3、合同有效期为签订合同后三年或结算额达到合同额上限（招标方每年会对中标方的服务质量进行服务商评价，当服务质量不满足合同约定要求时，招标方有权单方面解除合同）。</w:t>
      </w:r>
    </w:p>
    <w:p w14:paraId="5C52ECD0">
      <w:pPr>
        <w:numPr>
          <w:ilvl w:val="0"/>
          <w:numId w:val="3"/>
        </w:numPr>
        <w:tabs>
          <w:tab w:val="left" w:pos="0"/>
        </w:tabs>
        <w:spacing w:line="360" w:lineRule="auto"/>
        <w:ind w:left="0" w:leftChars="0" w:firstLine="480" w:firstLineChars="200"/>
        <w:rPr>
          <w:rFonts w:hint="eastAsia"/>
          <w:lang w:val="en-US" w:eastAsia="zh-CN"/>
        </w:rPr>
      </w:pPr>
      <w:r>
        <w:rPr>
          <w:rFonts w:hint="eastAsia"/>
          <w:lang w:val="en-US" w:eastAsia="zh-CN"/>
        </w:rPr>
        <w:t>电机清单中同功率、同设备用电机但型号有细微差别的视为同一种电机。</w:t>
      </w:r>
    </w:p>
    <w:p w14:paraId="16EE9D93">
      <w:pPr>
        <w:numPr>
          <w:ilvl w:val="0"/>
          <w:numId w:val="3"/>
        </w:numPr>
        <w:tabs>
          <w:tab w:val="left" w:pos="0"/>
        </w:tabs>
        <w:spacing w:line="360" w:lineRule="auto"/>
        <w:ind w:left="0" w:leftChars="0" w:firstLine="480" w:firstLineChars="200"/>
        <w:rPr>
          <w:rFonts w:hint="default"/>
          <w:lang w:val="en-US" w:eastAsia="zh-CN"/>
        </w:rPr>
      </w:pPr>
      <w:r>
        <w:rPr>
          <w:rFonts w:hint="eastAsia"/>
          <w:lang w:val="en-US" w:eastAsia="zh-CN"/>
        </w:rPr>
        <w:t>维修项目</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2256"/>
        <w:gridCol w:w="578"/>
        <w:gridCol w:w="680"/>
        <w:gridCol w:w="609"/>
        <w:gridCol w:w="612"/>
        <w:gridCol w:w="565"/>
        <w:gridCol w:w="691"/>
        <w:gridCol w:w="691"/>
        <w:gridCol w:w="691"/>
        <w:gridCol w:w="694"/>
        <w:gridCol w:w="693"/>
      </w:tblGrid>
      <w:tr w14:paraId="2D92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26" w:type="dxa"/>
            <w:vAlign w:val="center"/>
          </w:tcPr>
          <w:p w14:paraId="4522EB0D">
            <w:pPr>
              <w:jc w:val="center"/>
              <w:rPr>
                <w:rFonts w:hint="default"/>
                <w:vertAlign w:val="baseline"/>
                <w:lang w:val="en-US" w:eastAsia="zh-CN"/>
              </w:rPr>
            </w:pPr>
            <w:r>
              <w:rPr>
                <w:rFonts w:hint="eastAsia"/>
                <w:vertAlign w:val="baseline"/>
                <w:lang w:val="en-US" w:eastAsia="zh-CN"/>
              </w:rPr>
              <w:t>序号</w:t>
            </w:r>
          </w:p>
        </w:tc>
        <w:tc>
          <w:tcPr>
            <w:tcW w:w="2172" w:type="dxa"/>
            <w:tcBorders>
              <w:tl2br w:val="single" w:color="auto" w:sz="4" w:space="0"/>
            </w:tcBorders>
            <w:vAlign w:val="center"/>
          </w:tcPr>
          <w:p w14:paraId="57FD3477">
            <w:pPr>
              <w:jc w:val="center"/>
              <w:rPr>
                <w:rFonts w:hint="eastAsia"/>
                <w:vertAlign w:val="baseline"/>
                <w:lang w:val="en-US" w:eastAsia="zh-CN"/>
              </w:rPr>
            </w:pPr>
            <w:r>
              <w:rPr>
                <w:rFonts w:hint="eastAsia"/>
                <w:vertAlign w:val="baseline"/>
                <w:lang w:val="en-US" w:eastAsia="zh-CN"/>
              </w:rPr>
              <w:t xml:space="preserve">         维修内容</w:t>
            </w:r>
          </w:p>
          <w:p w14:paraId="27648620">
            <w:pPr>
              <w:jc w:val="left"/>
              <w:rPr>
                <w:rFonts w:hint="eastAsia"/>
                <w:vertAlign w:val="baseline"/>
                <w:lang w:val="en-US" w:eastAsia="zh-CN"/>
              </w:rPr>
            </w:pPr>
            <w:r>
              <w:rPr>
                <w:rFonts w:hint="eastAsia"/>
                <w:vertAlign w:val="baseline"/>
                <w:lang w:val="en-US" w:eastAsia="zh-CN"/>
              </w:rPr>
              <w:t>型  号</w:t>
            </w:r>
          </w:p>
        </w:tc>
        <w:tc>
          <w:tcPr>
            <w:tcW w:w="605" w:type="dxa"/>
            <w:vAlign w:val="center"/>
          </w:tcPr>
          <w:p w14:paraId="371BA29C">
            <w:pPr>
              <w:jc w:val="center"/>
              <w:rPr>
                <w:rFonts w:hint="default"/>
                <w:vertAlign w:val="baseline"/>
                <w:lang w:val="en-US" w:eastAsia="zh-CN"/>
              </w:rPr>
            </w:pPr>
            <w:r>
              <w:rPr>
                <w:rFonts w:hint="eastAsia"/>
                <w:vertAlign w:val="baseline"/>
                <w:lang w:val="en-US" w:eastAsia="zh-CN"/>
              </w:rPr>
              <w:t>定子大修</w:t>
            </w:r>
          </w:p>
        </w:tc>
        <w:tc>
          <w:tcPr>
            <w:tcW w:w="727" w:type="dxa"/>
            <w:vAlign w:val="center"/>
          </w:tcPr>
          <w:p w14:paraId="7712BD26">
            <w:pPr>
              <w:jc w:val="center"/>
              <w:rPr>
                <w:rFonts w:hint="default"/>
                <w:vertAlign w:val="baseline"/>
                <w:lang w:val="en-US" w:eastAsia="zh-CN"/>
              </w:rPr>
            </w:pPr>
            <w:r>
              <w:rPr>
                <w:rFonts w:hint="eastAsia"/>
                <w:vertAlign w:val="baseline"/>
                <w:lang w:val="en-US" w:eastAsia="zh-CN"/>
              </w:rPr>
              <w:t>转子大修</w:t>
            </w:r>
          </w:p>
        </w:tc>
        <w:tc>
          <w:tcPr>
            <w:tcW w:w="641" w:type="dxa"/>
            <w:vAlign w:val="center"/>
          </w:tcPr>
          <w:p w14:paraId="58A4ABD8">
            <w:pPr>
              <w:jc w:val="center"/>
              <w:rPr>
                <w:rFonts w:hint="default"/>
                <w:vertAlign w:val="baseline"/>
                <w:lang w:val="en-US" w:eastAsia="zh-CN"/>
              </w:rPr>
            </w:pPr>
            <w:r>
              <w:rPr>
                <w:rFonts w:hint="eastAsia"/>
                <w:vertAlign w:val="baseline"/>
                <w:lang w:val="en-US" w:eastAsia="zh-CN"/>
              </w:rPr>
              <w:t>保养</w:t>
            </w:r>
          </w:p>
        </w:tc>
        <w:tc>
          <w:tcPr>
            <w:tcW w:w="645" w:type="dxa"/>
            <w:vAlign w:val="center"/>
          </w:tcPr>
          <w:p w14:paraId="2923B407">
            <w:pPr>
              <w:jc w:val="center"/>
              <w:rPr>
                <w:rFonts w:hint="default"/>
                <w:vertAlign w:val="baseline"/>
                <w:lang w:val="en-US" w:eastAsia="zh-CN"/>
              </w:rPr>
            </w:pPr>
            <w:r>
              <w:rPr>
                <w:rFonts w:hint="eastAsia"/>
                <w:vertAlign w:val="baseline"/>
                <w:lang w:val="en-US" w:eastAsia="zh-CN"/>
              </w:rPr>
              <w:t>转子平衡</w:t>
            </w:r>
          </w:p>
        </w:tc>
        <w:tc>
          <w:tcPr>
            <w:tcW w:w="588" w:type="dxa"/>
            <w:vAlign w:val="center"/>
          </w:tcPr>
          <w:p w14:paraId="74C6C22D">
            <w:pPr>
              <w:jc w:val="center"/>
              <w:rPr>
                <w:rFonts w:hint="default"/>
                <w:vertAlign w:val="baseline"/>
                <w:lang w:val="en-US" w:eastAsia="zh-CN"/>
              </w:rPr>
            </w:pPr>
            <w:r>
              <w:rPr>
                <w:rFonts w:hint="eastAsia"/>
                <w:vertAlign w:val="baseline"/>
                <w:lang w:val="en-US" w:eastAsia="zh-CN"/>
              </w:rPr>
              <w:t>轴瓦浇筑</w:t>
            </w:r>
          </w:p>
        </w:tc>
        <w:tc>
          <w:tcPr>
            <w:tcW w:w="741" w:type="dxa"/>
            <w:vAlign w:val="center"/>
          </w:tcPr>
          <w:p w14:paraId="3F8F3531">
            <w:pPr>
              <w:jc w:val="center"/>
              <w:rPr>
                <w:rFonts w:hint="default"/>
                <w:vertAlign w:val="baseline"/>
                <w:lang w:val="en-US" w:eastAsia="zh-CN"/>
              </w:rPr>
            </w:pPr>
            <w:r>
              <w:rPr>
                <w:rFonts w:hint="eastAsia"/>
                <w:vertAlign w:val="baseline"/>
                <w:lang w:val="en-US" w:eastAsia="zh-CN"/>
              </w:rPr>
              <w:t>轴瓦刮研\调试</w:t>
            </w:r>
          </w:p>
        </w:tc>
        <w:tc>
          <w:tcPr>
            <w:tcW w:w="741" w:type="dxa"/>
            <w:vAlign w:val="center"/>
          </w:tcPr>
          <w:p w14:paraId="607E80A6">
            <w:pPr>
              <w:jc w:val="center"/>
              <w:rPr>
                <w:rFonts w:hint="eastAsia"/>
                <w:b/>
                <w:bCs/>
                <w:vertAlign w:val="baseline"/>
                <w:lang w:val="en-US" w:eastAsia="zh-CN"/>
              </w:rPr>
            </w:pPr>
            <w:r>
              <w:rPr>
                <w:rFonts w:hint="eastAsia"/>
                <w:vertAlign w:val="baseline"/>
                <w:lang w:val="en-US" w:eastAsia="zh-CN"/>
              </w:rPr>
              <w:t>轴承更换</w:t>
            </w:r>
          </w:p>
        </w:tc>
        <w:tc>
          <w:tcPr>
            <w:tcW w:w="741" w:type="dxa"/>
            <w:vAlign w:val="center"/>
          </w:tcPr>
          <w:p w14:paraId="1E509F9F">
            <w:pPr>
              <w:jc w:val="center"/>
              <w:rPr>
                <w:rFonts w:hint="eastAsia"/>
                <w:vertAlign w:val="baseline"/>
                <w:lang w:val="en-US" w:eastAsia="zh-CN"/>
              </w:rPr>
            </w:pPr>
            <w:r>
              <w:rPr>
                <w:rFonts w:hint="eastAsia"/>
                <w:vertAlign w:val="baseline"/>
                <w:lang w:val="en-US" w:eastAsia="zh-CN"/>
              </w:rPr>
              <w:t>轴承室维修</w:t>
            </w:r>
          </w:p>
        </w:tc>
        <w:tc>
          <w:tcPr>
            <w:tcW w:w="745" w:type="dxa"/>
            <w:vAlign w:val="center"/>
          </w:tcPr>
          <w:p w14:paraId="445F84EA">
            <w:pPr>
              <w:jc w:val="center"/>
              <w:rPr>
                <w:rFonts w:hint="eastAsia"/>
                <w:vertAlign w:val="baseline"/>
                <w:lang w:val="en-US" w:eastAsia="zh-CN"/>
              </w:rPr>
            </w:pPr>
            <w:r>
              <w:rPr>
                <w:rFonts w:hint="eastAsia"/>
                <w:vertAlign w:val="baseline"/>
                <w:lang w:val="en-US" w:eastAsia="zh-CN"/>
              </w:rPr>
              <w:t>更换差动CT</w:t>
            </w:r>
          </w:p>
        </w:tc>
        <w:tc>
          <w:tcPr>
            <w:tcW w:w="743" w:type="dxa"/>
            <w:vAlign w:val="center"/>
          </w:tcPr>
          <w:p w14:paraId="0B69ECD1">
            <w:pPr>
              <w:jc w:val="center"/>
              <w:rPr>
                <w:rFonts w:hint="default"/>
                <w:vertAlign w:val="baseline"/>
                <w:lang w:val="en-US" w:eastAsia="zh-CN"/>
              </w:rPr>
            </w:pPr>
            <w:r>
              <w:rPr>
                <w:rFonts w:hint="eastAsia"/>
                <w:vertAlign w:val="baseline"/>
                <w:lang w:val="en-US" w:eastAsia="zh-CN"/>
              </w:rPr>
              <w:t>更换/维修冷却风机</w:t>
            </w:r>
          </w:p>
        </w:tc>
      </w:tr>
      <w:tr w14:paraId="266D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252FEC53">
            <w:pPr>
              <w:jc w:val="center"/>
              <w:rPr>
                <w:rFonts w:hint="default"/>
                <w:vertAlign w:val="baseline"/>
                <w:lang w:val="en-US" w:eastAsia="zh-CN"/>
              </w:rPr>
            </w:pPr>
            <w:r>
              <w:rPr>
                <w:rFonts w:hint="eastAsia"/>
                <w:vertAlign w:val="baseline"/>
                <w:lang w:val="en-US" w:eastAsia="zh-CN"/>
              </w:rPr>
              <w:t>1</w:t>
            </w:r>
          </w:p>
        </w:tc>
        <w:tc>
          <w:tcPr>
            <w:tcW w:w="2172" w:type="dxa"/>
            <w:vAlign w:val="center"/>
          </w:tcPr>
          <w:p w14:paraId="7FE29C02">
            <w:pPr>
              <w:rPr>
                <w:rFonts w:hint="default"/>
                <w:vertAlign w:val="baseline"/>
                <w:lang w:val="en-US" w:eastAsia="zh-CN"/>
              </w:rPr>
            </w:pPr>
            <w:r>
              <w:rPr>
                <w:rFonts w:hint="eastAsia"/>
                <w:vertAlign w:val="baseline"/>
                <w:lang w:val="en-US" w:eastAsia="zh-CN"/>
              </w:rPr>
              <w:t>YRKK710-6/2200KW</w:t>
            </w:r>
          </w:p>
        </w:tc>
        <w:tc>
          <w:tcPr>
            <w:tcW w:w="605" w:type="dxa"/>
            <w:vAlign w:val="center"/>
          </w:tcPr>
          <w:p w14:paraId="1445239F">
            <w:pPr>
              <w:jc w:val="center"/>
              <w:rPr>
                <w:rFonts w:hint="default"/>
                <w:vertAlign w:val="baseline"/>
                <w:lang w:val="en-US" w:eastAsia="zh-CN"/>
              </w:rPr>
            </w:pPr>
            <w:r>
              <w:rPr>
                <w:rFonts w:hint="default" w:ascii="Arial" w:hAnsi="Arial" w:cs="Arial"/>
                <w:vertAlign w:val="baseline"/>
                <w:lang w:val="en-US" w:eastAsia="zh-CN"/>
              </w:rPr>
              <w:t>√</w:t>
            </w:r>
          </w:p>
        </w:tc>
        <w:tc>
          <w:tcPr>
            <w:tcW w:w="727" w:type="dxa"/>
            <w:vAlign w:val="center"/>
          </w:tcPr>
          <w:p w14:paraId="27DA140F">
            <w:pPr>
              <w:jc w:val="center"/>
              <w:rPr>
                <w:rFonts w:hint="default"/>
                <w:vertAlign w:val="baseline"/>
                <w:lang w:val="en-US" w:eastAsia="zh-CN"/>
              </w:rPr>
            </w:pPr>
            <w:r>
              <w:rPr>
                <w:rFonts w:hint="default" w:ascii="Arial" w:hAnsi="Arial" w:cs="Arial"/>
                <w:vertAlign w:val="baseline"/>
                <w:lang w:val="en-US" w:eastAsia="zh-CN"/>
              </w:rPr>
              <w:t>√</w:t>
            </w:r>
          </w:p>
        </w:tc>
        <w:tc>
          <w:tcPr>
            <w:tcW w:w="641" w:type="dxa"/>
            <w:vAlign w:val="center"/>
          </w:tcPr>
          <w:p w14:paraId="1EA488C0">
            <w:pPr>
              <w:jc w:val="center"/>
              <w:rPr>
                <w:rFonts w:hint="default"/>
                <w:vertAlign w:val="baseline"/>
                <w:lang w:val="en-US" w:eastAsia="zh-CN"/>
              </w:rPr>
            </w:pPr>
            <w:r>
              <w:rPr>
                <w:rFonts w:hint="default" w:ascii="Arial" w:hAnsi="Arial" w:cs="Arial"/>
                <w:vertAlign w:val="baseline"/>
                <w:lang w:val="en-US" w:eastAsia="zh-CN"/>
              </w:rPr>
              <w:t>√</w:t>
            </w:r>
          </w:p>
        </w:tc>
        <w:tc>
          <w:tcPr>
            <w:tcW w:w="645" w:type="dxa"/>
            <w:vAlign w:val="center"/>
          </w:tcPr>
          <w:p w14:paraId="181829B0">
            <w:pPr>
              <w:jc w:val="center"/>
              <w:rPr>
                <w:rFonts w:hint="default"/>
                <w:vertAlign w:val="baseline"/>
                <w:lang w:val="en-US" w:eastAsia="zh-CN"/>
              </w:rPr>
            </w:pPr>
            <w:r>
              <w:rPr>
                <w:rFonts w:hint="default" w:ascii="Arial" w:hAnsi="Arial" w:cs="Arial"/>
                <w:vertAlign w:val="baseline"/>
                <w:lang w:val="en-US" w:eastAsia="zh-CN"/>
              </w:rPr>
              <w:t>√</w:t>
            </w:r>
          </w:p>
        </w:tc>
        <w:tc>
          <w:tcPr>
            <w:tcW w:w="588" w:type="dxa"/>
            <w:vAlign w:val="center"/>
          </w:tcPr>
          <w:p w14:paraId="48E440D6">
            <w:pPr>
              <w:jc w:val="center"/>
              <w:rPr>
                <w:rFonts w:hint="default"/>
                <w:vertAlign w:val="baseline"/>
                <w:lang w:val="en-US" w:eastAsia="zh-CN"/>
              </w:rPr>
            </w:pPr>
            <w:r>
              <w:rPr>
                <w:rFonts w:hint="default" w:ascii="Arial" w:hAnsi="Arial" w:cs="Arial"/>
                <w:vertAlign w:val="baseline"/>
                <w:lang w:val="en-US" w:eastAsia="zh-CN"/>
              </w:rPr>
              <w:t>√</w:t>
            </w:r>
          </w:p>
        </w:tc>
        <w:tc>
          <w:tcPr>
            <w:tcW w:w="741" w:type="dxa"/>
            <w:vAlign w:val="center"/>
          </w:tcPr>
          <w:p w14:paraId="18E6C5AD">
            <w:pPr>
              <w:jc w:val="center"/>
              <w:rPr>
                <w:rFonts w:hint="default"/>
                <w:vertAlign w:val="baseline"/>
                <w:lang w:val="en-US" w:eastAsia="zh-CN"/>
              </w:rPr>
            </w:pPr>
            <w:r>
              <w:rPr>
                <w:rFonts w:hint="default" w:ascii="Arial" w:hAnsi="Arial" w:cs="Arial"/>
                <w:vertAlign w:val="baseline"/>
                <w:lang w:val="en-US" w:eastAsia="zh-CN"/>
              </w:rPr>
              <w:t>√</w:t>
            </w:r>
          </w:p>
        </w:tc>
        <w:tc>
          <w:tcPr>
            <w:tcW w:w="741" w:type="dxa"/>
            <w:vAlign w:val="center"/>
          </w:tcPr>
          <w:p w14:paraId="1B434922">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7F83D590">
            <w:pPr>
              <w:jc w:val="center"/>
              <w:rPr>
                <w:rFonts w:hint="eastAsia"/>
                <w:vertAlign w:val="baseline"/>
                <w:lang w:val="en-US" w:eastAsia="zh-CN"/>
              </w:rPr>
            </w:pPr>
            <w:r>
              <w:rPr>
                <w:rFonts w:hint="default" w:ascii="Arial" w:hAnsi="Arial" w:cs="Arial"/>
                <w:vertAlign w:val="baseline"/>
                <w:lang w:val="en-US" w:eastAsia="zh-CN"/>
              </w:rPr>
              <w:t>×</w:t>
            </w:r>
          </w:p>
        </w:tc>
        <w:tc>
          <w:tcPr>
            <w:tcW w:w="745" w:type="dxa"/>
            <w:vAlign w:val="center"/>
          </w:tcPr>
          <w:p w14:paraId="72EF9886">
            <w:pPr>
              <w:jc w:val="center"/>
              <w:rPr>
                <w:rFonts w:hint="eastAsia"/>
                <w:vertAlign w:val="baseline"/>
                <w:lang w:val="en-US" w:eastAsia="zh-CN"/>
              </w:rPr>
            </w:pPr>
            <w:r>
              <w:rPr>
                <w:rFonts w:hint="default" w:ascii="Arial" w:hAnsi="Arial" w:cs="Arial"/>
                <w:vertAlign w:val="baseline"/>
                <w:lang w:val="en-US" w:eastAsia="zh-CN"/>
              </w:rPr>
              <w:t>√</w:t>
            </w:r>
          </w:p>
        </w:tc>
        <w:tc>
          <w:tcPr>
            <w:tcW w:w="743" w:type="dxa"/>
            <w:vAlign w:val="center"/>
          </w:tcPr>
          <w:p w14:paraId="0571E7CA">
            <w:pPr>
              <w:jc w:val="center"/>
              <w:rPr>
                <w:rFonts w:hint="eastAsia"/>
                <w:vertAlign w:val="baseline"/>
                <w:lang w:val="en-US" w:eastAsia="zh-CN"/>
              </w:rPr>
            </w:pPr>
            <w:r>
              <w:rPr>
                <w:rFonts w:hint="default" w:ascii="Arial" w:hAnsi="Arial" w:cs="Arial"/>
                <w:vertAlign w:val="baseline"/>
                <w:lang w:val="en-US" w:eastAsia="zh-CN"/>
              </w:rPr>
              <w:t>×</w:t>
            </w:r>
          </w:p>
        </w:tc>
      </w:tr>
      <w:tr w14:paraId="0AE2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7ACB3A12">
            <w:pPr>
              <w:jc w:val="center"/>
              <w:rPr>
                <w:rFonts w:hint="default"/>
                <w:vertAlign w:val="baseline"/>
                <w:lang w:val="en-US" w:eastAsia="zh-CN"/>
              </w:rPr>
            </w:pPr>
            <w:r>
              <w:rPr>
                <w:rFonts w:hint="eastAsia"/>
                <w:vertAlign w:val="baseline"/>
                <w:lang w:val="en-US" w:eastAsia="zh-CN"/>
              </w:rPr>
              <w:t>2</w:t>
            </w:r>
          </w:p>
        </w:tc>
        <w:tc>
          <w:tcPr>
            <w:tcW w:w="2172" w:type="dxa"/>
            <w:shd w:val="clear" w:color="auto" w:fill="auto"/>
            <w:vAlign w:val="center"/>
          </w:tcPr>
          <w:p w14:paraId="4A7EA3A2">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YRKK560-6/900KW</w:t>
            </w:r>
          </w:p>
        </w:tc>
        <w:tc>
          <w:tcPr>
            <w:tcW w:w="605" w:type="dxa"/>
            <w:shd w:val="clear" w:color="auto" w:fill="auto"/>
            <w:vAlign w:val="center"/>
          </w:tcPr>
          <w:p w14:paraId="4ACA0A45">
            <w:pPr>
              <w:jc w:val="center"/>
              <w:rPr>
                <w:rFonts w:hint="eastAsia" w:asciiTheme="minorHAnsi" w:hAnsiTheme="minorHAnsi" w:eastAsiaTheme="minorEastAsia" w:cstheme="minorBidi"/>
                <w:kern w:val="2"/>
                <w:sz w:val="21"/>
                <w:szCs w:val="24"/>
                <w:vertAlign w:val="baseline"/>
                <w:lang w:val="en-US" w:eastAsia="zh-CN" w:bidi="ar-SA"/>
              </w:rPr>
            </w:pPr>
            <w:r>
              <w:rPr>
                <w:rFonts w:hint="default" w:ascii="Arial" w:hAnsi="Arial" w:cs="Arial"/>
                <w:vertAlign w:val="baseline"/>
                <w:lang w:val="en-US" w:eastAsia="zh-CN"/>
              </w:rPr>
              <w:t>√</w:t>
            </w:r>
          </w:p>
        </w:tc>
        <w:tc>
          <w:tcPr>
            <w:tcW w:w="727" w:type="dxa"/>
            <w:shd w:val="clear" w:color="auto" w:fill="auto"/>
            <w:vAlign w:val="center"/>
          </w:tcPr>
          <w:p w14:paraId="56C2E8AE">
            <w:pPr>
              <w:jc w:val="center"/>
              <w:rPr>
                <w:rFonts w:hint="default" w:asciiTheme="minorHAnsi" w:hAnsiTheme="minorHAnsi" w:eastAsiaTheme="minorEastAsia" w:cstheme="minorBidi"/>
                <w:kern w:val="2"/>
                <w:sz w:val="21"/>
                <w:szCs w:val="24"/>
                <w:vertAlign w:val="baseline"/>
                <w:lang w:val="en-US" w:eastAsia="zh-CN" w:bidi="ar-SA"/>
              </w:rPr>
            </w:pPr>
            <w:r>
              <w:rPr>
                <w:rFonts w:hint="default" w:ascii="Arial" w:hAnsi="Arial" w:cs="Arial"/>
                <w:vertAlign w:val="baseline"/>
                <w:lang w:val="en-US" w:eastAsia="zh-CN"/>
              </w:rPr>
              <w:t>√</w:t>
            </w:r>
          </w:p>
        </w:tc>
        <w:tc>
          <w:tcPr>
            <w:tcW w:w="641" w:type="dxa"/>
            <w:vAlign w:val="center"/>
          </w:tcPr>
          <w:p w14:paraId="41D13CC1">
            <w:pPr>
              <w:jc w:val="center"/>
              <w:rPr>
                <w:rFonts w:hint="default"/>
                <w:vertAlign w:val="baseline"/>
                <w:lang w:val="en-US" w:eastAsia="zh-CN"/>
              </w:rPr>
            </w:pPr>
            <w:r>
              <w:rPr>
                <w:rFonts w:hint="default" w:ascii="Arial" w:hAnsi="Arial" w:cs="Arial"/>
                <w:vertAlign w:val="baseline"/>
                <w:lang w:val="en-US" w:eastAsia="zh-CN"/>
              </w:rPr>
              <w:t>√</w:t>
            </w:r>
          </w:p>
        </w:tc>
        <w:tc>
          <w:tcPr>
            <w:tcW w:w="645" w:type="dxa"/>
            <w:vAlign w:val="center"/>
          </w:tcPr>
          <w:p w14:paraId="66699693">
            <w:pPr>
              <w:jc w:val="center"/>
              <w:rPr>
                <w:rFonts w:hint="default"/>
                <w:vertAlign w:val="baseline"/>
                <w:lang w:val="en-US" w:eastAsia="zh-CN"/>
              </w:rPr>
            </w:pPr>
            <w:r>
              <w:rPr>
                <w:rFonts w:hint="default" w:ascii="Arial" w:hAnsi="Arial" w:cs="Arial"/>
                <w:vertAlign w:val="baseline"/>
                <w:lang w:val="en-US" w:eastAsia="zh-CN"/>
              </w:rPr>
              <w:t>√</w:t>
            </w:r>
          </w:p>
        </w:tc>
        <w:tc>
          <w:tcPr>
            <w:tcW w:w="588" w:type="dxa"/>
            <w:vAlign w:val="center"/>
          </w:tcPr>
          <w:p w14:paraId="2A9A1281">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2D0BF1E3">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791873BE">
            <w:pPr>
              <w:jc w:val="center"/>
              <w:rPr>
                <w:rFonts w:hint="default"/>
                <w:vertAlign w:val="baseline"/>
                <w:lang w:val="en-US" w:eastAsia="zh-CN"/>
              </w:rPr>
            </w:pPr>
            <w:r>
              <w:rPr>
                <w:rFonts w:hint="default" w:ascii="Arial" w:hAnsi="Arial" w:cs="Arial"/>
                <w:vertAlign w:val="baseline"/>
                <w:lang w:val="en-US" w:eastAsia="zh-CN"/>
              </w:rPr>
              <w:t>√</w:t>
            </w:r>
          </w:p>
        </w:tc>
        <w:tc>
          <w:tcPr>
            <w:tcW w:w="741" w:type="dxa"/>
            <w:vAlign w:val="center"/>
          </w:tcPr>
          <w:p w14:paraId="3E355C68">
            <w:pPr>
              <w:jc w:val="center"/>
              <w:rPr>
                <w:rFonts w:hint="default"/>
                <w:vertAlign w:val="baseline"/>
                <w:lang w:val="en-US" w:eastAsia="zh-CN"/>
              </w:rPr>
            </w:pPr>
            <w:r>
              <w:rPr>
                <w:rFonts w:hint="default" w:ascii="Arial" w:hAnsi="Arial" w:cs="Arial"/>
                <w:vertAlign w:val="baseline"/>
                <w:lang w:val="en-US" w:eastAsia="zh-CN"/>
              </w:rPr>
              <w:t>√</w:t>
            </w:r>
          </w:p>
        </w:tc>
        <w:tc>
          <w:tcPr>
            <w:tcW w:w="745" w:type="dxa"/>
            <w:vAlign w:val="center"/>
          </w:tcPr>
          <w:p w14:paraId="1939D60D">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16962D7D">
            <w:pPr>
              <w:jc w:val="center"/>
              <w:rPr>
                <w:rFonts w:hint="default"/>
                <w:vertAlign w:val="baseline"/>
                <w:lang w:val="en-US" w:eastAsia="zh-CN"/>
              </w:rPr>
            </w:pPr>
            <w:r>
              <w:rPr>
                <w:rFonts w:hint="default" w:ascii="Arial" w:hAnsi="Arial" w:cs="Arial"/>
                <w:vertAlign w:val="baseline"/>
                <w:lang w:val="en-US" w:eastAsia="zh-CN"/>
              </w:rPr>
              <w:t>×</w:t>
            </w:r>
          </w:p>
        </w:tc>
      </w:tr>
      <w:tr w14:paraId="350E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02638AF0">
            <w:pPr>
              <w:jc w:val="center"/>
              <w:rPr>
                <w:rFonts w:hint="default"/>
                <w:vertAlign w:val="baseline"/>
                <w:lang w:val="en-US" w:eastAsia="zh-CN"/>
              </w:rPr>
            </w:pPr>
            <w:r>
              <w:rPr>
                <w:rFonts w:hint="eastAsia"/>
                <w:vertAlign w:val="baseline"/>
                <w:lang w:val="en-US" w:eastAsia="zh-CN"/>
              </w:rPr>
              <w:t>3</w:t>
            </w:r>
          </w:p>
        </w:tc>
        <w:tc>
          <w:tcPr>
            <w:tcW w:w="2172" w:type="dxa"/>
            <w:vAlign w:val="center"/>
          </w:tcPr>
          <w:p w14:paraId="2A6CEE8B">
            <w:pPr>
              <w:rPr>
                <w:rFonts w:hint="default"/>
                <w:vertAlign w:val="baseline"/>
                <w:lang w:val="en-US" w:eastAsia="zh-CN"/>
              </w:rPr>
            </w:pPr>
            <w:r>
              <w:rPr>
                <w:rFonts w:hint="eastAsia"/>
                <w:vertAlign w:val="baseline"/>
                <w:lang w:val="en-US" w:eastAsia="zh-CN"/>
              </w:rPr>
              <w:t>YPTQ500-8/500KW</w:t>
            </w:r>
          </w:p>
        </w:tc>
        <w:tc>
          <w:tcPr>
            <w:tcW w:w="605" w:type="dxa"/>
            <w:vAlign w:val="center"/>
          </w:tcPr>
          <w:p w14:paraId="7BC4DBB2">
            <w:pPr>
              <w:jc w:val="center"/>
              <w:rPr>
                <w:rFonts w:hint="default"/>
                <w:vertAlign w:val="baseline"/>
                <w:lang w:val="en-US" w:eastAsia="zh-CN"/>
              </w:rPr>
            </w:pPr>
            <w:r>
              <w:rPr>
                <w:rFonts w:hint="default" w:ascii="Arial" w:hAnsi="Arial" w:cs="Arial"/>
                <w:vertAlign w:val="baseline"/>
                <w:lang w:val="en-US" w:eastAsia="zh-CN"/>
              </w:rPr>
              <w:t>√</w:t>
            </w:r>
          </w:p>
        </w:tc>
        <w:tc>
          <w:tcPr>
            <w:tcW w:w="727" w:type="dxa"/>
            <w:vAlign w:val="center"/>
          </w:tcPr>
          <w:p w14:paraId="29641F21">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51881ADE">
            <w:pPr>
              <w:jc w:val="center"/>
              <w:rPr>
                <w:rFonts w:hint="default"/>
                <w:vertAlign w:val="baseline"/>
                <w:lang w:val="en-US" w:eastAsia="zh-CN"/>
              </w:rPr>
            </w:pPr>
            <w:r>
              <w:rPr>
                <w:rFonts w:hint="default" w:ascii="Arial" w:hAnsi="Arial" w:cs="Arial"/>
                <w:vertAlign w:val="baseline"/>
                <w:lang w:val="en-US" w:eastAsia="zh-CN"/>
              </w:rPr>
              <w:t>√</w:t>
            </w:r>
          </w:p>
        </w:tc>
        <w:tc>
          <w:tcPr>
            <w:tcW w:w="645" w:type="dxa"/>
            <w:vAlign w:val="center"/>
          </w:tcPr>
          <w:p w14:paraId="62D0AB76">
            <w:pPr>
              <w:jc w:val="center"/>
              <w:rPr>
                <w:rFonts w:hint="default"/>
                <w:vertAlign w:val="baseline"/>
                <w:lang w:val="en-US" w:eastAsia="zh-CN"/>
              </w:rPr>
            </w:pPr>
            <w:r>
              <w:rPr>
                <w:rFonts w:hint="default" w:ascii="Arial" w:hAnsi="Arial" w:cs="Arial"/>
                <w:vertAlign w:val="baseline"/>
                <w:lang w:val="en-US" w:eastAsia="zh-CN"/>
              </w:rPr>
              <w:t>√</w:t>
            </w:r>
          </w:p>
        </w:tc>
        <w:tc>
          <w:tcPr>
            <w:tcW w:w="588" w:type="dxa"/>
            <w:vAlign w:val="center"/>
          </w:tcPr>
          <w:p w14:paraId="1FEEB1A8">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4E00BD04">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5F143257">
            <w:pPr>
              <w:jc w:val="center"/>
              <w:rPr>
                <w:rFonts w:hint="default"/>
                <w:vertAlign w:val="baseline"/>
                <w:lang w:val="en-US" w:eastAsia="zh-CN"/>
              </w:rPr>
            </w:pPr>
            <w:r>
              <w:rPr>
                <w:rFonts w:hint="default" w:ascii="Arial" w:hAnsi="Arial" w:cs="Arial"/>
                <w:vertAlign w:val="baseline"/>
                <w:lang w:val="en-US" w:eastAsia="zh-CN"/>
              </w:rPr>
              <w:t>√</w:t>
            </w:r>
          </w:p>
        </w:tc>
        <w:tc>
          <w:tcPr>
            <w:tcW w:w="741" w:type="dxa"/>
            <w:vAlign w:val="center"/>
          </w:tcPr>
          <w:p w14:paraId="505329DF">
            <w:pPr>
              <w:jc w:val="center"/>
              <w:rPr>
                <w:rFonts w:hint="default"/>
                <w:vertAlign w:val="baseline"/>
                <w:lang w:val="en-US" w:eastAsia="zh-CN"/>
              </w:rPr>
            </w:pPr>
            <w:r>
              <w:rPr>
                <w:rFonts w:hint="default" w:ascii="Arial" w:hAnsi="Arial" w:cs="Arial"/>
                <w:vertAlign w:val="baseline"/>
                <w:lang w:val="en-US" w:eastAsia="zh-CN"/>
              </w:rPr>
              <w:t>√</w:t>
            </w:r>
          </w:p>
        </w:tc>
        <w:tc>
          <w:tcPr>
            <w:tcW w:w="745" w:type="dxa"/>
            <w:vAlign w:val="center"/>
          </w:tcPr>
          <w:p w14:paraId="4F644BEC">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37936B0B">
            <w:pPr>
              <w:jc w:val="center"/>
              <w:rPr>
                <w:rFonts w:hint="default"/>
                <w:vertAlign w:val="baseline"/>
                <w:lang w:val="en-US" w:eastAsia="zh-CN"/>
              </w:rPr>
            </w:pPr>
            <w:r>
              <w:rPr>
                <w:rFonts w:hint="default" w:ascii="Arial" w:hAnsi="Arial" w:cs="Arial"/>
                <w:vertAlign w:val="baseline"/>
                <w:lang w:val="en-US" w:eastAsia="zh-CN"/>
              </w:rPr>
              <w:t>√</w:t>
            </w:r>
          </w:p>
        </w:tc>
      </w:tr>
      <w:tr w14:paraId="4F29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11888EBC">
            <w:pPr>
              <w:jc w:val="center"/>
              <w:rPr>
                <w:rFonts w:hint="default"/>
                <w:vertAlign w:val="baseline"/>
                <w:lang w:val="en-US" w:eastAsia="zh-CN"/>
              </w:rPr>
            </w:pPr>
            <w:r>
              <w:rPr>
                <w:rFonts w:hint="eastAsia"/>
                <w:vertAlign w:val="baseline"/>
                <w:lang w:val="en-US" w:eastAsia="zh-CN"/>
              </w:rPr>
              <w:t>4</w:t>
            </w:r>
          </w:p>
        </w:tc>
        <w:tc>
          <w:tcPr>
            <w:tcW w:w="2172" w:type="dxa"/>
            <w:vAlign w:val="center"/>
          </w:tcPr>
          <w:p w14:paraId="3EDE86D1">
            <w:pPr>
              <w:rPr>
                <w:rFonts w:hint="default"/>
                <w:vertAlign w:val="baseline"/>
                <w:lang w:val="en-US" w:eastAsia="zh-CN"/>
              </w:rPr>
            </w:pPr>
            <w:r>
              <w:rPr>
                <w:rFonts w:hint="eastAsia"/>
                <w:vertAlign w:val="baseline"/>
                <w:lang w:val="en-US" w:eastAsia="zh-CN"/>
              </w:rPr>
              <w:t>YSBPKK400-6/315KW</w:t>
            </w:r>
          </w:p>
        </w:tc>
        <w:tc>
          <w:tcPr>
            <w:tcW w:w="605" w:type="dxa"/>
            <w:vAlign w:val="center"/>
          </w:tcPr>
          <w:p w14:paraId="3CDC1298">
            <w:pPr>
              <w:jc w:val="center"/>
              <w:rPr>
                <w:rFonts w:hint="default"/>
                <w:vertAlign w:val="baseline"/>
                <w:lang w:val="en-US" w:eastAsia="zh-CN"/>
              </w:rPr>
            </w:pPr>
            <w:r>
              <w:rPr>
                <w:rFonts w:hint="default" w:ascii="Arial" w:hAnsi="Arial" w:cs="Arial"/>
                <w:vertAlign w:val="baseline"/>
                <w:lang w:val="en-US" w:eastAsia="zh-CN"/>
              </w:rPr>
              <w:t>√</w:t>
            </w:r>
          </w:p>
        </w:tc>
        <w:tc>
          <w:tcPr>
            <w:tcW w:w="727" w:type="dxa"/>
            <w:vAlign w:val="center"/>
          </w:tcPr>
          <w:p w14:paraId="5B80F421">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6C2426EA">
            <w:pPr>
              <w:jc w:val="center"/>
              <w:rPr>
                <w:rFonts w:hint="default"/>
                <w:vertAlign w:val="baseline"/>
                <w:lang w:val="en-US" w:eastAsia="zh-CN"/>
              </w:rPr>
            </w:pPr>
            <w:r>
              <w:rPr>
                <w:rFonts w:hint="default" w:ascii="Arial" w:hAnsi="Arial" w:cs="Arial"/>
                <w:vertAlign w:val="baseline"/>
                <w:lang w:val="en-US" w:eastAsia="zh-CN"/>
              </w:rPr>
              <w:t>√</w:t>
            </w:r>
          </w:p>
        </w:tc>
        <w:tc>
          <w:tcPr>
            <w:tcW w:w="645" w:type="dxa"/>
            <w:vAlign w:val="center"/>
          </w:tcPr>
          <w:p w14:paraId="0C6AE7D3">
            <w:pPr>
              <w:jc w:val="center"/>
              <w:rPr>
                <w:rFonts w:hint="default"/>
                <w:vertAlign w:val="baseline"/>
                <w:lang w:val="en-US" w:eastAsia="zh-CN"/>
              </w:rPr>
            </w:pPr>
            <w:r>
              <w:rPr>
                <w:rFonts w:hint="default" w:ascii="Arial" w:hAnsi="Arial" w:cs="Arial"/>
                <w:vertAlign w:val="baseline"/>
                <w:lang w:val="en-US" w:eastAsia="zh-CN"/>
              </w:rPr>
              <w:t>√</w:t>
            </w:r>
          </w:p>
        </w:tc>
        <w:tc>
          <w:tcPr>
            <w:tcW w:w="588" w:type="dxa"/>
            <w:vAlign w:val="center"/>
          </w:tcPr>
          <w:p w14:paraId="0314A384">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72A90BB2">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5DBCAE6E">
            <w:pPr>
              <w:jc w:val="center"/>
              <w:rPr>
                <w:rFonts w:hint="default"/>
                <w:vertAlign w:val="baseline"/>
                <w:lang w:val="en-US" w:eastAsia="zh-CN"/>
              </w:rPr>
            </w:pPr>
            <w:r>
              <w:rPr>
                <w:rFonts w:hint="default" w:ascii="Arial" w:hAnsi="Arial" w:cs="Arial"/>
                <w:vertAlign w:val="baseline"/>
                <w:lang w:val="en-US" w:eastAsia="zh-CN"/>
              </w:rPr>
              <w:t>√</w:t>
            </w:r>
          </w:p>
        </w:tc>
        <w:tc>
          <w:tcPr>
            <w:tcW w:w="741" w:type="dxa"/>
            <w:vAlign w:val="center"/>
          </w:tcPr>
          <w:p w14:paraId="43FA709F">
            <w:pPr>
              <w:jc w:val="center"/>
              <w:rPr>
                <w:rFonts w:hint="default"/>
                <w:vertAlign w:val="baseline"/>
                <w:lang w:val="en-US" w:eastAsia="zh-CN"/>
              </w:rPr>
            </w:pPr>
            <w:r>
              <w:rPr>
                <w:rFonts w:hint="default" w:ascii="Arial" w:hAnsi="Arial" w:cs="Arial"/>
                <w:vertAlign w:val="baseline"/>
                <w:lang w:val="en-US" w:eastAsia="zh-CN"/>
              </w:rPr>
              <w:t>√</w:t>
            </w:r>
          </w:p>
        </w:tc>
        <w:tc>
          <w:tcPr>
            <w:tcW w:w="745" w:type="dxa"/>
            <w:vAlign w:val="center"/>
          </w:tcPr>
          <w:p w14:paraId="21EC5E55">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67A0B9A3">
            <w:pPr>
              <w:jc w:val="center"/>
              <w:rPr>
                <w:rFonts w:hint="default"/>
                <w:vertAlign w:val="baseline"/>
                <w:lang w:val="en-US" w:eastAsia="zh-CN"/>
              </w:rPr>
            </w:pPr>
            <w:r>
              <w:rPr>
                <w:rFonts w:hint="default" w:ascii="Arial" w:hAnsi="Arial" w:cs="Arial"/>
                <w:vertAlign w:val="baseline"/>
                <w:lang w:val="en-US" w:eastAsia="zh-CN"/>
              </w:rPr>
              <w:t>√</w:t>
            </w:r>
          </w:p>
        </w:tc>
      </w:tr>
      <w:tr w14:paraId="255F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vAlign w:val="center"/>
          </w:tcPr>
          <w:p w14:paraId="32AED0B9">
            <w:pPr>
              <w:jc w:val="center"/>
              <w:rPr>
                <w:rFonts w:hint="default"/>
                <w:vertAlign w:val="baseline"/>
                <w:lang w:val="en-US" w:eastAsia="zh-CN"/>
              </w:rPr>
            </w:pPr>
            <w:r>
              <w:rPr>
                <w:rFonts w:hint="eastAsia"/>
                <w:vertAlign w:val="baseline"/>
                <w:lang w:val="en-US" w:eastAsia="zh-CN"/>
              </w:rPr>
              <w:t>5</w:t>
            </w:r>
          </w:p>
        </w:tc>
        <w:tc>
          <w:tcPr>
            <w:tcW w:w="2172" w:type="dxa"/>
            <w:vAlign w:val="center"/>
          </w:tcPr>
          <w:p w14:paraId="26B2E72C">
            <w:pPr>
              <w:rPr>
                <w:rFonts w:hint="eastAsia"/>
                <w:vertAlign w:val="baseline"/>
                <w:lang w:val="en-US" w:eastAsia="zh-CN"/>
              </w:rPr>
            </w:pPr>
            <w:r>
              <w:rPr>
                <w:rFonts w:hint="eastAsia"/>
                <w:vertAlign w:val="baseline"/>
                <w:lang w:val="en-US" w:eastAsia="zh-CN"/>
              </w:rPr>
              <w:t>1MCD400-6DP80-</w:t>
            </w:r>
          </w:p>
          <w:p w14:paraId="03D725D0">
            <w:pPr>
              <w:rPr>
                <w:rFonts w:hint="default"/>
                <w:vertAlign w:val="baseline"/>
                <w:lang w:val="en-US" w:eastAsia="zh-CN"/>
              </w:rPr>
            </w:pPr>
            <w:r>
              <w:rPr>
                <w:rFonts w:hint="eastAsia"/>
                <w:vertAlign w:val="baseline"/>
                <w:lang w:val="en-US" w:eastAsia="zh-CN"/>
              </w:rPr>
              <w:t>0CA3-Z/450KW</w:t>
            </w:r>
          </w:p>
        </w:tc>
        <w:tc>
          <w:tcPr>
            <w:tcW w:w="605" w:type="dxa"/>
            <w:vAlign w:val="center"/>
          </w:tcPr>
          <w:p w14:paraId="375679AA">
            <w:pPr>
              <w:jc w:val="center"/>
              <w:rPr>
                <w:rFonts w:hint="default"/>
                <w:vertAlign w:val="baseline"/>
                <w:lang w:val="en-US" w:eastAsia="zh-CN"/>
              </w:rPr>
            </w:pPr>
            <w:r>
              <w:rPr>
                <w:rFonts w:hint="default" w:ascii="Arial" w:hAnsi="Arial" w:cs="Arial"/>
                <w:vertAlign w:val="baseline"/>
                <w:lang w:val="en-US" w:eastAsia="zh-CN"/>
              </w:rPr>
              <w:t>√</w:t>
            </w:r>
          </w:p>
        </w:tc>
        <w:tc>
          <w:tcPr>
            <w:tcW w:w="727" w:type="dxa"/>
            <w:vAlign w:val="center"/>
          </w:tcPr>
          <w:p w14:paraId="10BAACE5">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2EDB9868">
            <w:pPr>
              <w:jc w:val="center"/>
              <w:rPr>
                <w:rFonts w:hint="default"/>
                <w:vertAlign w:val="baseline"/>
                <w:lang w:val="en-US" w:eastAsia="zh-CN"/>
              </w:rPr>
            </w:pPr>
            <w:r>
              <w:rPr>
                <w:rFonts w:hint="default" w:ascii="Arial" w:hAnsi="Arial" w:cs="Arial"/>
                <w:vertAlign w:val="baseline"/>
                <w:lang w:val="en-US" w:eastAsia="zh-CN"/>
              </w:rPr>
              <w:t>√</w:t>
            </w:r>
          </w:p>
        </w:tc>
        <w:tc>
          <w:tcPr>
            <w:tcW w:w="645" w:type="dxa"/>
            <w:vAlign w:val="center"/>
          </w:tcPr>
          <w:p w14:paraId="6F6839F4">
            <w:pPr>
              <w:jc w:val="center"/>
              <w:rPr>
                <w:rFonts w:hint="default"/>
                <w:vertAlign w:val="baseline"/>
                <w:lang w:val="en-US" w:eastAsia="zh-CN"/>
              </w:rPr>
            </w:pPr>
            <w:r>
              <w:rPr>
                <w:rFonts w:hint="default" w:ascii="Arial" w:hAnsi="Arial" w:cs="Arial"/>
                <w:vertAlign w:val="baseline"/>
                <w:lang w:val="en-US" w:eastAsia="zh-CN"/>
              </w:rPr>
              <w:t>√</w:t>
            </w:r>
          </w:p>
        </w:tc>
        <w:tc>
          <w:tcPr>
            <w:tcW w:w="588" w:type="dxa"/>
            <w:vAlign w:val="center"/>
          </w:tcPr>
          <w:p w14:paraId="4A9AFE92">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4B6515FF">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4672D346">
            <w:pPr>
              <w:jc w:val="center"/>
              <w:rPr>
                <w:rFonts w:hint="default"/>
                <w:vertAlign w:val="baseline"/>
                <w:lang w:val="en-US" w:eastAsia="zh-CN"/>
              </w:rPr>
            </w:pPr>
            <w:r>
              <w:rPr>
                <w:rFonts w:hint="default" w:ascii="Arial" w:hAnsi="Arial" w:cs="Arial"/>
                <w:vertAlign w:val="baseline"/>
                <w:lang w:val="en-US" w:eastAsia="zh-CN"/>
              </w:rPr>
              <w:t>√</w:t>
            </w:r>
          </w:p>
        </w:tc>
        <w:tc>
          <w:tcPr>
            <w:tcW w:w="741" w:type="dxa"/>
            <w:vAlign w:val="center"/>
          </w:tcPr>
          <w:p w14:paraId="070CE2C1">
            <w:pPr>
              <w:jc w:val="center"/>
              <w:rPr>
                <w:rFonts w:hint="default"/>
                <w:vertAlign w:val="baseline"/>
                <w:lang w:val="en-US" w:eastAsia="zh-CN"/>
              </w:rPr>
            </w:pPr>
            <w:r>
              <w:rPr>
                <w:rFonts w:hint="default" w:ascii="Arial" w:hAnsi="Arial" w:cs="Arial"/>
                <w:vertAlign w:val="baseline"/>
                <w:lang w:val="en-US" w:eastAsia="zh-CN"/>
              </w:rPr>
              <w:t>√</w:t>
            </w:r>
          </w:p>
        </w:tc>
        <w:tc>
          <w:tcPr>
            <w:tcW w:w="745" w:type="dxa"/>
            <w:vAlign w:val="center"/>
          </w:tcPr>
          <w:p w14:paraId="2FD1EDD0">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5D220936">
            <w:pPr>
              <w:jc w:val="center"/>
              <w:rPr>
                <w:rFonts w:hint="default"/>
                <w:vertAlign w:val="baseline"/>
                <w:lang w:val="en-US" w:eastAsia="zh-CN"/>
              </w:rPr>
            </w:pPr>
            <w:r>
              <w:rPr>
                <w:rFonts w:hint="default" w:ascii="Arial" w:hAnsi="Arial" w:cs="Arial"/>
                <w:vertAlign w:val="baseline"/>
                <w:lang w:val="en-US" w:eastAsia="zh-CN"/>
              </w:rPr>
              <w:t>×</w:t>
            </w:r>
          </w:p>
        </w:tc>
      </w:tr>
      <w:tr w14:paraId="65AD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69B76EB9">
            <w:pPr>
              <w:jc w:val="center"/>
              <w:rPr>
                <w:rFonts w:hint="default"/>
                <w:vertAlign w:val="baseline"/>
                <w:lang w:val="en-US" w:eastAsia="zh-CN"/>
              </w:rPr>
            </w:pPr>
            <w:r>
              <w:rPr>
                <w:rFonts w:hint="eastAsia"/>
                <w:vertAlign w:val="baseline"/>
                <w:lang w:val="en-US" w:eastAsia="zh-CN"/>
              </w:rPr>
              <w:t>6</w:t>
            </w:r>
          </w:p>
        </w:tc>
        <w:tc>
          <w:tcPr>
            <w:tcW w:w="2172" w:type="dxa"/>
            <w:vAlign w:val="center"/>
          </w:tcPr>
          <w:p w14:paraId="53EAB2EC">
            <w:pPr>
              <w:rPr>
                <w:rFonts w:hint="eastAsia"/>
                <w:vertAlign w:val="baseline"/>
                <w:lang w:val="en-US" w:eastAsia="zh-CN"/>
              </w:rPr>
            </w:pPr>
            <w:r>
              <w:rPr>
                <w:rFonts w:hint="eastAsia"/>
                <w:vertAlign w:val="baseline"/>
                <w:lang w:val="en-US" w:eastAsia="zh-CN"/>
              </w:rPr>
              <w:t>YSBPKK450-4/710KW</w:t>
            </w:r>
          </w:p>
          <w:p w14:paraId="2DC1D237">
            <w:pPr>
              <w:rPr>
                <w:rFonts w:hint="default"/>
                <w:vertAlign w:val="baseline"/>
                <w:lang w:val="en-US" w:eastAsia="zh-CN"/>
              </w:rPr>
            </w:pPr>
            <w:r>
              <w:rPr>
                <w:rFonts w:hint="eastAsia"/>
                <w:vertAlign w:val="baseline"/>
                <w:lang w:val="en-US" w:eastAsia="zh-CN"/>
              </w:rPr>
              <w:t>YSPKK450-4/710KW</w:t>
            </w:r>
          </w:p>
        </w:tc>
        <w:tc>
          <w:tcPr>
            <w:tcW w:w="605" w:type="dxa"/>
            <w:vAlign w:val="center"/>
          </w:tcPr>
          <w:p w14:paraId="13510F43">
            <w:pPr>
              <w:jc w:val="center"/>
              <w:rPr>
                <w:rFonts w:hint="default"/>
                <w:vertAlign w:val="baseline"/>
                <w:lang w:val="en-US" w:eastAsia="zh-CN"/>
              </w:rPr>
            </w:pPr>
            <w:r>
              <w:rPr>
                <w:rFonts w:hint="default" w:ascii="Arial" w:hAnsi="Arial" w:cs="Arial"/>
                <w:vertAlign w:val="baseline"/>
                <w:lang w:val="en-US" w:eastAsia="zh-CN"/>
              </w:rPr>
              <w:t>√</w:t>
            </w:r>
          </w:p>
        </w:tc>
        <w:tc>
          <w:tcPr>
            <w:tcW w:w="727" w:type="dxa"/>
            <w:vAlign w:val="center"/>
          </w:tcPr>
          <w:p w14:paraId="31404B25">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4CD805B5">
            <w:pPr>
              <w:jc w:val="center"/>
              <w:rPr>
                <w:rFonts w:hint="default"/>
                <w:vertAlign w:val="baseline"/>
                <w:lang w:val="en-US" w:eastAsia="zh-CN"/>
              </w:rPr>
            </w:pPr>
            <w:r>
              <w:rPr>
                <w:rFonts w:hint="default" w:ascii="Arial" w:hAnsi="Arial" w:cs="Arial"/>
                <w:vertAlign w:val="baseline"/>
                <w:lang w:val="en-US" w:eastAsia="zh-CN"/>
              </w:rPr>
              <w:t>√</w:t>
            </w:r>
          </w:p>
        </w:tc>
        <w:tc>
          <w:tcPr>
            <w:tcW w:w="645" w:type="dxa"/>
            <w:vAlign w:val="center"/>
          </w:tcPr>
          <w:p w14:paraId="480364A7">
            <w:pPr>
              <w:jc w:val="center"/>
              <w:rPr>
                <w:rFonts w:hint="default"/>
                <w:vertAlign w:val="baseline"/>
                <w:lang w:val="en-US" w:eastAsia="zh-CN"/>
              </w:rPr>
            </w:pPr>
            <w:r>
              <w:rPr>
                <w:rFonts w:hint="default" w:ascii="Arial" w:hAnsi="Arial" w:cs="Arial"/>
                <w:vertAlign w:val="baseline"/>
                <w:lang w:val="en-US" w:eastAsia="zh-CN"/>
              </w:rPr>
              <w:t>√</w:t>
            </w:r>
          </w:p>
        </w:tc>
        <w:tc>
          <w:tcPr>
            <w:tcW w:w="588" w:type="dxa"/>
            <w:vAlign w:val="center"/>
          </w:tcPr>
          <w:p w14:paraId="3B2ECAAE">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2631FB36">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79FF3478">
            <w:pPr>
              <w:jc w:val="center"/>
              <w:rPr>
                <w:rFonts w:hint="default"/>
                <w:vertAlign w:val="baseline"/>
                <w:lang w:val="en-US" w:eastAsia="zh-CN"/>
              </w:rPr>
            </w:pPr>
            <w:r>
              <w:rPr>
                <w:rFonts w:hint="default" w:ascii="Arial" w:hAnsi="Arial" w:cs="Arial"/>
                <w:vertAlign w:val="baseline"/>
                <w:lang w:val="en-US" w:eastAsia="zh-CN"/>
              </w:rPr>
              <w:t>√</w:t>
            </w:r>
          </w:p>
        </w:tc>
        <w:tc>
          <w:tcPr>
            <w:tcW w:w="741" w:type="dxa"/>
            <w:vAlign w:val="center"/>
          </w:tcPr>
          <w:p w14:paraId="1EF4B7B7">
            <w:pPr>
              <w:jc w:val="center"/>
              <w:rPr>
                <w:rFonts w:hint="default"/>
                <w:vertAlign w:val="baseline"/>
                <w:lang w:val="en-US" w:eastAsia="zh-CN"/>
              </w:rPr>
            </w:pPr>
            <w:r>
              <w:rPr>
                <w:rFonts w:hint="default" w:ascii="Arial" w:hAnsi="Arial" w:cs="Arial"/>
                <w:vertAlign w:val="baseline"/>
                <w:lang w:val="en-US" w:eastAsia="zh-CN"/>
              </w:rPr>
              <w:t>√</w:t>
            </w:r>
          </w:p>
        </w:tc>
        <w:tc>
          <w:tcPr>
            <w:tcW w:w="745" w:type="dxa"/>
            <w:vAlign w:val="center"/>
          </w:tcPr>
          <w:p w14:paraId="5C383733">
            <w:pPr>
              <w:jc w:val="center"/>
              <w:rPr>
                <w:rFonts w:hint="default"/>
                <w:vertAlign w:val="baseline"/>
                <w:lang w:val="en-US" w:eastAsia="zh-CN"/>
              </w:rPr>
            </w:pPr>
            <w:r>
              <w:rPr>
                <w:rFonts w:hint="default" w:ascii="Arial" w:hAnsi="Arial" w:cs="Arial"/>
                <w:vertAlign w:val="baseline"/>
                <w:lang w:val="en-US" w:eastAsia="zh-CN"/>
              </w:rPr>
              <w:t>×</w:t>
            </w:r>
          </w:p>
        </w:tc>
        <w:tc>
          <w:tcPr>
            <w:tcW w:w="743" w:type="dxa"/>
            <w:shd w:val="clear" w:color="auto" w:fill="auto"/>
            <w:vAlign w:val="center"/>
          </w:tcPr>
          <w:p w14:paraId="3377BD7E">
            <w:pPr>
              <w:jc w:val="center"/>
              <w:rPr>
                <w:rFonts w:hint="default" w:asciiTheme="minorHAnsi" w:hAnsiTheme="minorHAnsi" w:eastAsiaTheme="minorEastAsia" w:cstheme="minorBidi"/>
                <w:kern w:val="2"/>
                <w:sz w:val="21"/>
                <w:szCs w:val="22"/>
                <w:vertAlign w:val="baseline"/>
                <w:lang w:val="en-US" w:eastAsia="zh-CN" w:bidi="ar-SA"/>
              </w:rPr>
            </w:pPr>
            <w:r>
              <w:rPr>
                <w:rFonts w:hint="default" w:ascii="Arial" w:hAnsi="Arial" w:cs="Arial"/>
                <w:vertAlign w:val="baseline"/>
                <w:lang w:val="en-US" w:eastAsia="zh-CN"/>
              </w:rPr>
              <w:t>√</w:t>
            </w:r>
          </w:p>
        </w:tc>
      </w:tr>
    </w:tbl>
    <w:p w14:paraId="71B82877">
      <w:pPr>
        <w:numPr>
          <w:ilvl w:val="0"/>
          <w:numId w:val="3"/>
        </w:numPr>
        <w:tabs>
          <w:tab w:val="left" w:pos="0"/>
        </w:tabs>
        <w:spacing w:line="360" w:lineRule="auto"/>
        <w:ind w:left="0" w:leftChars="0" w:firstLine="480" w:firstLineChars="200"/>
        <w:rPr>
          <w:rFonts w:hint="eastAsia"/>
          <w:lang w:val="zh-CN" w:eastAsia="zh-CN"/>
        </w:rPr>
      </w:pPr>
      <w:r>
        <w:rPr>
          <w:rFonts w:hint="eastAsia"/>
          <w:lang w:val="zh-CN" w:eastAsia="zh-CN"/>
        </w:rPr>
        <w:t>轴承、润滑脂及其它材料、往返运输、维修保养、试验等费用由</w:t>
      </w:r>
      <w:r>
        <w:rPr>
          <w:rFonts w:hint="eastAsia"/>
          <w:lang w:val="en-US" w:eastAsia="zh-CN"/>
        </w:rPr>
        <w:t>投标人</w:t>
      </w:r>
      <w:r>
        <w:rPr>
          <w:rFonts w:hint="eastAsia"/>
          <w:lang w:val="zh-CN" w:eastAsia="zh-CN"/>
        </w:rPr>
        <w:t>负责；生产现场电机拆线、电机拆除、起吊、安装找正、接线等工作由</w:t>
      </w:r>
      <w:r>
        <w:rPr>
          <w:rFonts w:hint="eastAsia"/>
          <w:lang w:val="en-US" w:eastAsia="zh-CN"/>
        </w:rPr>
        <w:t>招标人</w:t>
      </w:r>
      <w:r>
        <w:rPr>
          <w:rFonts w:hint="eastAsia"/>
          <w:lang w:val="zh-CN" w:eastAsia="zh-CN"/>
        </w:rPr>
        <w:t>负责。</w:t>
      </w:r>
    </w:p>
    <w:p w14:paraId="65E679CE">
      <w:pPr>
        <w:numPr>
          <w:ilvl w:val="0"/>
          <w:numId w:val="3"/>
        </w:numPr>
        <w:tabs>
          <w:tab w:val="left" w:pos="0"/>
        </w:tabs>
        <w:spacing w:line="360" w:lineRule="auto"/>
        <w:ind w:left="0" w:leftChars="0" w:firstLine="480" w:firstLineChars="200"/>
        <w:rPr>
          <w:rFonts w:hint="eastAsia"/>
          <w:lang w:val="zh-CN" w:eastAsia="zh-CN"/>
        </w:rPr>
      </w:pPr>
      <w:r>
        <w:rPr>
          <w:rFonts w:hint="eastAsia"/>
          <w:lang w:val="en-US" w:eastAsia="zh-CN"/>
        </w:rPr>
        <w:t>维修后开具</w:t>
      </w:r>
      <w:r>
        <w:rPr>
          <w:rFonts w:hint="eastAsia"/>
          <w:lang w:val="zh-CN" w:eastAsia="zh-CN"/>
        </w:rPr>
        <w:t>增值税</w:t>
      </w:r>
      <w:r>
        <w:rPr>
          <w:rFonts w:hint="eastAsia"/>
          <w:lang w:val="en-US" w:eastAsia="zh-CN"/>
        </w:rPr>
        <w:t>专用发票</w:t>
      </w:r>
      <w:r>
        <w:rPr>
          <w:rFonts w:hint="eastAsia"/>
          <w:lang w:val="zh-CN" w:eastAsia="zh-CN"/>
        </w:rPr>
        <w:t>，</w:t>
      </w:r>
      <w:r>
        <w:rPr>
          <w:rFonts w:hint="eastAsia"/>
          <w:lang w:val="en-US" w:eastAsia="zh-CN"/>
        </w:rPr>
        <w:t>银行承兑结算</w:t>
      </w:r>
      <w:r>
        <w:rPr>
          <w:rFonts w:hint="eastAsia"/>
          <w:lang w:val="zh-CN" w:eastAsia="zh-CN"/>
        </w:rPr>
        <w:t>，合同有效期内结算上限为</w:t>
      </w:r>
      <w:r>
        <w:rPr>
          <w:rFonts w:hint="eastAsia"/>
          <w:lang w:val="en-US" w:eastAsia="zh-CN"/>
        </w:rPr>
        <w:t>合同</w:t>
      </w:r>
      <w:r>
        <w:rPr>
          <w:rFonts w:hint="eastAsia"/>
          <w:lang w:val="zh-CN" w:eastAsia="zh-CN"/>
        </w:rPr>
        <w:t>价，合同到期或结算额达到结算上限后合同终止。</w:t>
      </w:r>
    </w:p>
    <w:p w14:paraId="426332F6">
      <w:pPr>
        <w:numPr>
          <w:ilvl w:val="0"/>
          <w:numId w:val="3"/>
        </w:numPr>
        <w:tabs>
          <w:tab w:val="left" w:pos="0"/>
        </w:tabs>
        <w:spacing w:line="360" w:lineRule="auto"/>
        <w:ind w:left="0" w:leftChars="0" w:firstLine="480" w:firstLineChars="200"/>
        <w:rPr>
          <w:rFonts w:hint="eastAsia"/>
          <w:lang w:val="zh-CN" w:eastAsia="zh-CN"/>
        </w:rPr>
      </w:pPr>
      <w:r>
        <w:rPr>
          <w:rFonts w:hint="eastAsia"/>
          <w:lang w:val="zh-CN" w:eastAsia="zh-CN"/>
        </w:rPr>
        <w:t>承包方式：包工包料</w:t>
      </w:r>
    </w:p>
    <w:p w14:paraId="77619CAD">
      <w:pPr>
        <w:numPr>
          <w:ilvl w:val="0"/>
          <w:numId w:val="3"/>
        </w:numPr>
        <w:tabs>
          <w:tab w:val="left" w:pos="0"/>
        </w:tabs>
        <w:spacing w:line="360" w:lineRule="auto"/>
        <w:ind w:left="0" w:leftChars="0" w:firstLine="480" w:firstLineChars="200"/>
        <w:rPr>
          <w:rFonts w:hint="eastAsia"/>
          <w:lang w:val="zh-CN" w:eastAsia="zh-CN"/>
        </w:rPr>
      </w:pPr>
      <w:r>
        <w:rPr>
          <w:rFonts w:hint="eastAsia"/>
          <w:lang w:val="zh-CN" w:eastAsia="zh-CN"/>
        </w:rPr>
        <w:t>质量要求：</w:t>
      </w:r>
      <w:r>
        <w:rPr>
          <w:rFonts w:hint="eastAsia"/>
          <w:lang w:val="en-US" w:eastAsia="zh-CN"/>
        </w:rPr>
        <w:t>在约定时间内上门取件、修复并送回；</w:t>
      </w:r>
      <w:r>
        <w:rPr>
          <w:rFonts w:hint="eastAsia"/>
          <w:lang w:val="zh-CN" w:eastAsia="zh-CN"/>
        </w:rPr>
        <w:t>符合国家、行业相关质量验收标准（需要提供试验报告）；</w:t>
      </w:r>
      <w:r>
        <w:rPr>
          <w:rFonts w:hint="eastAsia"/>
          <w:lang w:val="en-US" w:eastAsia="zh-CN"/>
        </w:rPr>
        <w:t>维修</w:t>
      </w:r>
      <w:r>
        <w:rPr>
          <w:rFonts w:hint="eastAsia"/>
          <w:lang w:val="zh-CN" w:eastAsia="zh-CN"/>
        </w:rPr>
        <w:t>质量缺陷修复期：</w:t>
      </w:r>
      <w:r>
        <w:rPr>
          <w:rFonts w:hint="eastAsia"/>
          <w:lang w:val="en-US" w:eastAsia="zh-CN"/>
        </w:rPr>
        <w:t>维修送回后一年</w:t>
      </w:r>
      <w:r>
        <w:rPr>
          <w:rFonts w:hint="eastAsia"/>
          <w:lang w:val="zh-CN" w:eastAsia="zh-CN"/>
        </w:rPr>
        <w:t>；轴承选用斯凯孚品牌轴承，</w:t>
      </w:r>
      <w:r>
        <w:rPr>
          <w:rFonts w:hint="eastAsia"/>
          <w:lang w:val="en-US" w:eastAsia="zh-CN"/>
        </w:rPr>
        <w:t>轴瓦可选用国产轴瓦</w:t>
      </w:r>
      <w:r>
        <w:rPr>
          <w:rFonts w:hint="eastAsia"/>
          <w:lang w:val="zh-CN" w:eastAsia="zh-CN"/>
        </w:rPr>
        <w:t>。</w:t>
      </w:r>
    </w:p>
    <w:p w14:paraId="6E0863C4">
      <w:pPr>
        <w:numPr>
          <w:ilvl w:val="0"/>
          <w:numId w:val="3"/>
        </w:numPr>
        <w:tabs>
          <w:tab w:val="left" w:pos="0"/>
        </w:tabs>
        <w:spacing w:line="360" w:lineRule="auto"/>
        <w:ind w:left="0" w:leftChars="0" w:firstLine="480" w:firstLineChars="200"/>
        <w:rPr>
          <w:rFonts w:hint="eastAsia"/>
          <w:lang w:val="zh-CN" w:eastAsia="zh-CN"/>
        </w:rPr>
      </w:pPr>
      <w:r>
        <w:rPr>
          <w:rFonts w:hint="eastAsia"/>
          <w:lang w:val="zh-CN" w:eastAsia="zh-CN"/>
        </w:rPr>
        <w:t>电机保养方式为拉回中标单位保养，保养</w:t>
      </w:r>
      <w:r>
        <w:rPr>
          <w:rFonts w:hint="eastAsia"/>
          <w:lang w:val="en-US" w:eastAsia="zh-CN"/>
        </w:rPr>
        <w:t>包含烘干、轴承清理、电机内杂物检查清理、更换润滑油脂、动平衡检测、传感器测试等</w:t>
      </w:r>
      <w:r>
        <w:rPr>
          <w:rFonts w:hint="eastAsia"/>
          <w:lang w:val="zh-CN" w:eastAsia="zh-CN"/>
        </w:rPr>
        <w:t>；</w:t>
      </w:r>
      <w:r>
        <w:rPr>
          <w:rFonts w:hint="eastAsia"/>
          <w:lang w:val="en-US" w:eastAsia="zh-CN"/>
        </w:rPr>
        <w:t>当出现大修项时维修和保养费用不重复计算，只记维修费</w:t>
      </w:r>
      <w:r>
        <w:rPr>
          <w:rFonts w:hint="eastAsia"/>
          <w:lang w:val="zh-CN" w:eastAsia="zh-CN"/>
        </w:rPr>
        <w:t>。</w:t>
      </w:r>
    </w:p>
    <w:p w14:paraId="518896FB">
      <w:pPr>
        <w:numPr>
          <w:ilvl w:val="0"/>
          <w:numId w:val="3"/>
        </w:numPr>
        <w:tabs>
          <w:tab w:val="left" w:pos="0"/>
        </w:tabs>
        <w:spacing w:line="360" w:lineRule="auto"/>
        <w:ind w:left="0" w:leftChars="0" w:firstLine="480" w:firstLineChars="200"/>
        <w:rPr>
          <w:rFonts w:hint="eastAsia"/>
          <w:lang w:val="zh-CN" w:eastAsia="zh-CN"/>
        </w:rPr>
      </w:pPr>
      <w:r>
        <w:rPr>
          <w:rFonts w:hint="eastAsia"/>
          <w:lang w:val="en-US" w:eastAsia="zh-CN"/>
        </w:rPr>
        <w:t>最高限价（元）：488000元（招标人投标报价超过最高限价的按无效投标处理）</w:t>
      </w:r>
    </w:p>
    <w:p w14:paraId="72288EB5">
      <w:pPr>
        <w:pStyle w:val="45"/>
        <w:spacing w:after="0" w:line="360" w:lineRule="auto"/>
        <w:ind w:left="0" w:leftChars="0" w:firstLine="0" w:firstLineChars="0"/>
        <w:jc w:val="left"/>
        <w:rPr>
          <w:b/>
          <w:bCs/>
          <w:kern w:val="2"/>
          <w:szCs w:val="22"/>
        </w:rPr>
      </w:pPr>
      <w:r>
        <w:rPr>
          <w:b/>
          <w:bCs/>
          <w:kern w:val="2"/>
          <w:szCs w:val="22"/>
        </w:rPr>
        <w:t>四、</w:t>
      </w:r>
      <w:r>
        <w:rPr>
          <w:rFonts w:hint="eastAsia"/>
          <w:b/>
          <w:bCs/>
          <w:kern w:val="2"/>
          <w:szCs w:val="22"/>
        </w:rPr>
        <w:t>投标人</w:t>
      </w:r>
      <w:r>
        <w:rPr>
          <w:b/>
          <w:bCs/>
          <w:kern w:val="2"/>
          <w:szCs w:val="22"/>
        </w:rPr>
        <w:t>资格要求</w:t>
      </w:r>
    </w:p>
    <w:p w14:paraId="2163CBA1">
      <w:pPr>
        <w:spacing w:line="360" w:lineRule="auto"/>
        <w:ind w:firstLine="480" w:firstLineChars="200"/>
        <w:rPr>
          <w:rFonts w:hint="eastAsia" w:ascii="宋体" w:hAnsi="宋体" w:eastAsia="宋体" w:cs="宋体"/>
          <w:lang w:val="zh-CN"/>
        </w:rPr>
      </w:pPr>
      <w:r>
        <w:rPr>
          <w:rFonts w:hint="eastAsia"/>
          <w:lang w:val="zh-CN"/>
        </w:rPr>
        <w:t>1、企业资质：注册资金100万及以上、依法成立，具有法人资格和一般纳税人资格，经营范围包含</w:t>
      </w:r>
      <w:r>
        <w:rPr>
          <w:rFonts w:hint="eastAsia"/>
          <w:lang w:val="en-US" w:eastAsia="zh-CN"/>
        </w:rPr>
        <w:t>高压</w:t>
      </w:r>
      <w:r>
        <w:rPr>
          <w:rFonts w:hint="eastAsia"/>
          <w:lang w:val="zh-CN"/>
        </w:rPr>
        <w:t>电机维修项目，具有履行合同必需的设备</w:t>
      </w:r>
      <w:r>
        <w:rPr>
          <w:rFonts w:hint="eastAsia" w:ascii="宋体" w:hAnsi="宋体" w:eastAsia="宋体" w:cs="宋体"/>
          <w:lang w:val="zh-CN"/>
        </w:rPr>
        <w:t>、专业技术能力；</w:t>
      </w:r>
    </w:p>
    <w:p w14:paraId="58206C24">
      <w:pPr>
        <w:spacing w:line="360" w:lineRule="auto"/>
        <w:ind w:firstLine="480" w:firstLineChars="200"/>
        <w:rPr>
          <w:rFonts w:hint="default" w:ascii="宋体" w:hAnsi="宋体" w:eastAsia="宋体" w:cs="宋体"/>
          <w:lang w:val="en-US" w:eastAsia="zh-CN"/>
        </w:rPr>
      </w:pPr>
      <w:r>
        <w:rPr>
          <w:rFonts w:hint="eastAsia" w:cs="宋体"/>
          <w:lang w:val="en-US" w:eastAsia="zh-CN"/>
        </w:rPr>
        <w:t>2、三年内高压电机维修业绩不少于5个，需提供合同扫描件；</w:t>
      </w:r>
    </w:p>
    <w:p w14:paraId="0F85A8D0">
      <w:pPr>
        <w:spacing w:line="360" w:lineRule="auto"/>
        <w:ind w:firstLine="480" w:firstLineChars="200"/>
        <w:rPr>
          <w:rFonts w:hint="eastAsia"/>
          <w:lang w:val="zh-CN"/>
        </w:rPr>
      </w:pPr>
      <w:r>
        <w:rPr>
          <w:rFonts w:hint="eastAsia"/>
          <w:lang w:val="en-US" w:eastAsia="zh-CN"/>
        </w:rPr>
        <w:t>3</w:t>
      </w:r>
      <w:r>
        <w:rPr>
          <w:rFonts w:hint="eastAsia"/>
          <w:lang w:val="zh-CN"/>
        </w:rPr>
        <w:t>、具有良好的企业信誉和健全的财务会计制度；</w:t>
      </w:r>
    </w:p>
    <w:p w14:paraId="1D8DC667">
      <w:pPr>
        <w:spacing w:line="360" w:lineRule="auto"/>
        <w:ind w:firstLine="480" w:firstLineChars="200"/>
        <w:rPr>
          <w:rFonts w:hint="eastAsia"/>
          <w:lang w:val="zh-CN"/>
        </w:rPr>
      </w:pPr>
      <w:r>
        <w:rPr>
          <w:rFonts w:hint="eastAsia"/>
          <w:lang w:val="en-US" w:eastAsia="zh-CN"/>
        </w:rPr>
        <w:t>4</w:t>
      </w:r>
      <w:r>
        <w:rPr>
          <w:rFonts w:hint="eastAsia"/>
          <w:lang w:val="zh-CN"/>
        </w:rPr>
        <w:t>、有依法缴纳税收和社会保障金的良好纪录；</w:t>
      </w:r>
    </w:p>
    <w:p w14:paraId="19DE10F5">
      <w:pPr>
        <w:spacing w:line="360" w:lineRule="auto"/>
        <w:ind w:firstLine="480" w:firstLineChars="200"/>
        <w:rPr>
          <w:rFonts w:hint="eastAsia"/>
          <w:lang w:val="zh-CN"/>
        </w:rPr>
      </w:pPr>
      <w:r>
        <w:rPr>
          <w:rFonts w:hint="eastAsia"/>
          <w:lang w:val="en-US" w:eastAsia="zh-CN"/>
        </w:rPr>
        <w:t>5</w:t>
      </w:r>
      <w:r>
        <w:rPr>
          <w:rFonts w:hint="eastAsia"/>
          <w:lang w:val="zh-CN"/>
        </w:rPr>
        <w:t>、投标人须遵守中华人民共和国有关法律、法规，无重大违法违约行为。“通过“信用中国”网站（www.creditchina.gov.cn）、中国政府采购网（www.ccgp.gov.cn）查询，未被列入失信被执行人、重大税收违法案件当事人、政府采购严重违法失信行为记录名单。”查询截屏记录。</w:t>
      </w:r>
    </w:p>
    <w:p w14:paraId="490A387B">
      <w:pPr>
        <w:spacing w:line="360" w:lineRule="auto"/>
        <w:ind w:firstLine="480" w:firstLineChars="200"/>
        <w:rPr>
          <w:rFonts w:hint="eastAsia"/>
          <w:lang w:val="zh-CN"/>
        </w:rPr>
      </w:pPr>
      <w:r>
        <w:rPr>
          <w:rFonts w:hint="eastAsia"/>
          <w:lang w:val="en-US" w:eastAsia="zh-CN"/>
        </w:rPr>
        <w:t>6</w:t>
      </w:r>
      <w:r>
        <w:rPr>
          <w:rFonts w:hint="eastAsia"/>
          <w:highlight w:val="none"/>
          <w:lang w:val="zh-CN"/>
        </w:rPr>
        <w:t>、</w:t>
      </w:r>
      <w:r>
        <w:rPr>
          <w:rFonts w:hint="eastAsia"/>
          <w:highlight w:val="none"/>
          <w:lang w:val="en-US" w:eastAsia="zh-CN"/>
        </w:rPr>
        <w:t>以上5项必须同时满足，</w:t>
      </w:r>
      <w:r>
        <w:rPr>
          <w:rFonts w:hint="eastAsia"/>
          <w:highlight w:val="none"/>
          <w:lang w:val="zh-CN"/>
        </w:rPr>
        <w:t>如有</w:t>
      </w:r>
      <w:r>
        <w:rPr>
          <w:rFonts w:hint="eastAsia"/>
          <w:lang w:val="zh-CN"/>
        </w:rPr>
        <w:t>单位资料造假，一经发现，立即在网上公示，并永久取消投标资格。</w:t>
      </w:r>
    </w:p>
    <w:p w14:paraId="434BE1AC">
      <w:pPr>
        <w:spacing w:line="360" w:lineRule="auto"/>
        <w:rPr>
          <w:rFonts w:hint="eastAsia"/>
          <w:b/>
          <w:bCs/>
        </w:rPr>
      </w:pPr>
      <w:r>
        <w:rPr>
          <w:rFonts w:hint="eastAsia" w:cs="Times New Roman"/>
          <w:b/>
          <w:bCs/>
          <w:kern w:val="2"/>
          <w:szCs w:val="22"/>
        </w:rPr>
        <w:t>五、</w:t>
      </w:r>
      <w:r>
        <w:rPr>
          <w:rFonts w:hint="eastAsia"/>
          <w:b/>
          <w:bCs/>
        </w:rPr>
        <w:t>公告和报名</w:t>
      </w:r>
    </w:p>
    <w:p w14:paraId="231AE9F2">
      <w:pPr>
        <w:spacing w:line="360" w:lineRule="auto"/>
        <w:ind w:firstLine="480" w:firstLineChars="200"/>
        <w:rPr>
          <w:rFonts w:hint="eastAsia"/>
        </w:rPr>
      </w:pPr>
      <w:r>
        <w:rPr>
          <w:rFonts w:hint="eastAsia"/>
        </w:rPr>
        <w:t>1、报名方式：通过登录济钢集团有限公司阳光购销平台网上报名(</w:t>
      </w:r>
      <w:r>
        <w:rPr>
          <w:rFonts w:hint="eastAsia"/>
          <w:lang w:val="zh-CN"/>
        </w:rPr>
        <w:t>不接受线下报名</w:t>
      </w:r>
      <w:r>
        <w:rPr>
          <w:rFonts w:hint="eastAsia"/>
        </w:rPr>
        <w:t>)，平台网址：</w:t>
      </w:r>
      <w:r>
        <w:rPr>
          <w:rFonts w:hint="eastAsia"/>
        </w:rPr>
        <w:fldChar w:fldCharType="begin"/>
      </w:r>
      <w:r>
        <w:rPr>
          <w:rFonts w:hint="eastAsia"/>
        </w:rP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 xml:space="preserve">/； </w:t>
      </w:r>
    </w:p>
    <w:p w14:paraId="4FAA3A65">
      <w:pPr>
        <w:spacing w:line="360" w:lineRule="auto"/>
        <w:ind w:firstLine="480" w:firstLineChars="200"/>
        <w:rPr>
          <w:rFonts w:hint="eastAsia"/>
        </w:rPr>
      </w:pPr>
      <w:r>
        <w:rPr>
          <w:rFonts w:hint="eastAsia"/>
        </w:rPr>
        <w:t>2、公</w:t>
      </w:r>
      <w:r>
        <w:rPr>
          <w:rFonts w:hint="eastAsia"/>
          <w:highlight w:val="none"/>
        </w:rPr>
        <w:t>告和报名时间：20</w:t>
      </w:r>
      <w:r>
        <w:rPr>
          <w:rFonts w:hint="eastAsia"/>
          <w:highlight w:val="none"/>
          <w:lang w:val="en-US" w:eastAsia="zh-CN"/>
        </w:rPr>
        <w:t>26</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18</w:t>
      </w:r>
      <w:r>
        <w:rPr>
          <w:rFonts w:hint="eastAsia"/>
          <w:highlight w:val="none"/>
        </w:rPr>
        <w:t>日～202</w:t>
      </w:r>
      <w:r>
        <w:rPr>
          <w:rFonts w:hint="eastAsia"/>
          <w:highlight w:val="none"/>
          <w:lang w:val="en-US" w:eastAsia="zh-CN"/>
        </w:rPr>
        <w:t>6</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24</w:t>
      </w:r>
      <w:r>
        <w:rPr>
          <w:rFonts w:hint="eastAsia"/>
          <w:highlight w:val="none"/>
        </w:rPr>
        <w:t>日（北京时间）。</w:t>
      </w:r>
    </w:p>
    <w:p w14:paraId="3812072B">
      <w:pPr>
        <w:widowControl w:val="0"/>
        <w:spacing w:line="360" w:lineRule="auto"/>
        <w:rPr>
          <w:rFonts w:cs="Times New Roman"/>
          <w:b/>
          <w:bCs/>
          <w:kern w:val="2"/>
          <w:szCs w:val="22"/>
          <w:highlight w:val="none"/>
        </w:rPr>
      </w:pPr>
      <w:r>
        <w:rPr>
          <w:rFonts w:hint="eastAsia" w:cs="Times New Roman"/>
          <w:b/>
          <w:bCs/>
          <w:kern w:val="2"/>
          <w:szCs w:val="22"/>
        </w:rPr>
        <w:t>六</w:t>
      </w:r>
      <w:r>
        <w:rPr>
          <w:rFonts w:cs="Times New Roman"/>
          <w:b/>
          <w:bCs/>
          <w:kern w:val="2"/>
          <w:szCs w:val="22"/>
        </w:rPr>
        <w:t>、</w:t>
      </w:r>
      <w:r>
        <w:rPr>
          <w:rFonts w:hint="eastAsia" w:cs="Times New Roman"/>
          <w:b/>
          <w:bCs/>
          <w:kern w:val="2"/>
          <w:szCs w:val="22"/>
          <w:highlight w:val="none"/>
        </w:rPr>
        <w:t>开标时间和方式</w:t>
      </w:r>
    </w:p>
    <w:p w14:paraId="4CC17EBA">
      <w:pPr>
        <w:widowControl w:val="0"/>
        <w:spacing w:line="360" w:lineRule="auto"/>
        <w:ind w:firstLine="480" w:firstLineChars="200"/>
        <w:rPr>
          <w:rFonts w:cs="Times New Roman"/>
          <w:kern w:val="2"/>
          <w:szCs w:val="22"/>
          <w:highlight w:val="none"/>
        </w:rPr>
      </w:pPr>
      <w:r>
        <w:rPr>
          <w:rFonts w:cs="Times New Roman"/>
          <w:kern w:val="2"/>
          <w:szCs w:val="22"/>
          <w:highlight w:val="none"/>
        </w:rPr>
        <w:t>1、</w:t>
      </w:r>
      <w:r>
        <w:rPr>
          <w:rFonts w:hint="eastAsia" w:cs="Times New Roman"/>
          <w:kern w:val="2"/>
          <w:szCs w:val="22"/>
          <w:highlight w:val="none"/>
        </w:rPr>
        <w:t>开标</w:t>
      </w:r>
      <w:r>
        <w:rPr>
          <w:rFonts w:cs="Times New Roman"/>
          <w:kern w:val="2"/>
          <w:szCs w:val="22"/>
          <w:highlight w:val="none"/>
        </w:rPr>
        <w:t>时间：</w:t>
      </w:r>
      <w:r>
        <w:rPr>
          <w:rFonts w:hint="eastAsia" w:cs="Times New Roman"/>
          <w:kern w:val="2"/>
          <w:szCs w:val="22"/>
          <w:highlight w:val="none"/>
        </w:rPr>
        <w:t>202</w:t>
      </w:r>
      <w:r>
        <w:rPr>
          <w:rFonts w:hint="eastAsia" w:cs="Times New Roman"/>
          <w:kern w:val="2"/>
          <w:szCs w:val="22"/>
          <w:highlight w:val="none"/>
          <w:lang w:val="en-US" w:eastAsia="zh-CN"/>
        </w:rPr>
        <w:t>6</w:t>
      </w:r>
      <w:r>
        <w:rPr>
          <w:rFonts w:hint="eastAsia" w:cs="Times New Roman"/>
          <w:kern w:val="2"/>
          <w:szCs w:val="22"/>
          <w:highlight w:val="none"/>
        </w:rPr>
        <w:t>年</w:t>
      </w:r>
      <w:r>
        <w:rPr>
          <w:rFonts w:hint="eastAsia" w:cs="Times New Roman"/>
          <w:kern w:val="2"/>
          <w:szCs w:val="22"/>
          <w:highlight w:val="none"/>
          <w:lang w:val="en-US" w:eastAsia="zh-CN"/>
        </w:rPr>
        <w:t>6</w:t>
      </w:r>
      <w:r>
        <w:rPr>
          <w:rFonts w:hint="eastAsia" w:cs="Times New Roman"/>
          <w:kern w:val="2"/>
          <w:szCs w:val="22"/>
          <w:highlight w:val="none"/>
        </w:rPr>
        <w:t>月</w:t>
      </w:r>
      <w:r>
        <w:rPr>
          <w:rFonts w:hint="eastAsia" w:cs="Times New Roman"/>
          <w:kern w:val="2"/>
          <w:szCs w:val="22"/>
          <w:highlight w:val="none"/>
          <w:lang w:val="en-US" w:eastAsia="zh-CN"/>
        </w:rPr>
        <w:t>26</w:t>
      </w:r>
      <w:r>
        <w:rPr>
          <w:rFonts w:hint="eastAsia" w:cs="Times New Roman"/>
          <w:kern w:val="2"/>
          <w:szCs w:val="22"/>
          <w:highlight w:val="none"/>
        </w:rPr>
        <w:t>日</w:t>
      </w:r>
      <w:r>
        <w:rPr>
          <w:rFonts w:hint="eastAsia" w:cs="Times New Roman"/>
          <w:kern w:val="2"/>
          <w:szCs w:val="22"/>
          <w:highlight w:val="none"/>
          <w:lang w:val="en-US" w:eastAsia="zh-CN"/>
        </w:rPr>
        <w:t>9</w:t>
      </w:r>
      <w:r>
        <w:rPr>
          <w:rFonts w:hint="eastAsia" w:cs="Times New Roman"/>
          <w:kern w:val="2"/>
          <w:szCs w:val="22"/>
          <w:highlight w:val="none"/>
        </w:rPr>
        <w:t>点</w:t>
      </w:r>
      <w:r>
        <w:rPr>
          <w:rFonts w:cs="Times New Roman"/>
          <w:kern w:val="2"/>
          <w:szCs w:val="22"/>
          <w:highlight w:val="none"/>
        </w:rPr>
        <w:t>；</w:t>
      </w:r>
    </w:p>
    <w:p w14:paraId="7BA757DC">
      <w:pPr>
        <w:widowControl w:val="0"/>
        <w:spacing w:line="360" w:lineRule="auto"/>
        <w:ind w:firstLine="480" w:firstLineChars="200"/>
        <w:rPr>
          <w:rFonts w:hint="eastAsia"/>
          <w:highlight w:val="none"/>
        </w:rPr>
      </w:pPr>
      <w:r>
        <w:rPr>
          <w:rFonts w:cs="Times New Roman"/>
          <w:kern w:val="2"/>
          <w:szCs w:val="22"/>
          <w:highlight w:val="none"/>
        </w:rPr>
        <w:t>2、</w:t>
      </w:r>
      <w:r>
        <w:rPr>
          <w:rFonts w:hint="eastAsia"/>
          <w:highlight w:val="none"/>
        </w:rPr>
        <w:t>开标方式：</w:t>
      </w:r>
      <w:r>
        <w:rPr>
          <w:rFonts w:hint="eastAsia"/>
          <w:highlight w:val="none"/>
          <w:lang w:val="en-US" w:eastAsia="zh-CN"/>
        </w:rPr>
        <w:t>网上</w:t>
      </w:r>
      <w:r>
        <w:rPr>
          <w:rFonts w:hint="eastAsia"/>
          <w:highlight w:val="none"/>
        </w:rPr>
        <w:t>开标。</w:t>
      </w:r>
    </w:p>
    <w:p w14:paraId="7F9903FC">
      <w:pPr>
        <w:spacing w:line="360" w:lineRule="auto"/>
        <w:rPr>
          <w:rFonts w:hint="eastAsia" w:cs="Times New Roman"/>
          <w:b/>
          <w:bCs/>
          <w:kern w:val="2"/>
          <w:szCs w:val="22"/>
          <w:highlight w:val="none"/>
        </w:rPr>
      </w:pPr>
      <w:r>
        <w:rPr>
          <w:rFonts w:hint="eastAsia" w:cs="Times New Roman"/>
          <w:b/>
          <w:bCs/>
          <w:kern w:val="2"/>
          <w:szCs w:val="22"/>
          <w:highlight w:val="none"/>
        </w:rPr>
        <w:t>七</w:t>
      </w:r>
      <w:r>
        <w:rPr>
          <w:rFonts w:cs="Times New Roman"/>
          <w:b/>
          <w:bCs/>
          <w:kern w:val="2"/>
          <w:szCs w:val="22"/>
          <w:highlight w:val="none"/>
        </w:rPr>
        <w:t>、</w:t>
      </w:r>
      <w:r>
        <w:rPr>
          <w:rFonts w:hint="eastAsia" w:cs="Times New Roman"/>
          <w:b/>
          <w:bCs/>
          <w:kern w:val="2"/>
          <w:szCs w:val="22"/>
          <w:highlight w:val="none"/>
        </w:rPr>
        <w:t>投标</w:t>
      </w:r>
      <w:r>
        <w:rPr>
          <w:rFonts w:cs="Times New Roman"/>
          <w:b/>
          <w:bCs/>
          <w:kern w:val="2"/>
          <w:szCs w:val="22"/>
          <w:highlight w:val="none"/>
        </w:rPr>
        <w:t>保证金：</w:t>
      </w:r>
      <w:r>
        <w:rPr>
          <w:rFonts w:hint="eastAsia" w:cs="Times New Roman"/>
          <w:b/>
          <w:bCs/>
          <w:kern w:val="2"/>
          <w:szCs w:val="22"/>
          <w:highlight w:val="none"/>
          <w:lang w:val="en-US" w:eastAsia="zh-CN"/>
        </w:rPr>
        <w:t>无</w:t>
      </w:r>
    </w:p>
    <w:p w14:paraId="1EC22A6C">
      <w:pPr>
        <w:spacing w:line="360" w:lineRule="auto"/>
        <w:rPr>
          <w:rFonts w:hint="eastAsia"/>
          <w:b/>
          <w:bCs/>
        </w:rPr>
      </w:pPr>
      <w:r>
        <w:rPr>
          <w:rFonts w:hint="eastAsia"/>
          <w:b/>
          <w:bCs/>
        </w:rPr>
        <w:t>八、招标文件的获取方式</w:t>
      </w:r>
    </w:p>
    <w:p w14:paraId="5A3E0B1B">
      <w:pPr>
        <w:spacing w:line="360" w:lineRule="auto"/>
        <w:ind w:firstLine="480" w:firstLineChars="200"/>
        <w:rPr>
          <w:rFonts w:hint="eastAsia"/>
          <w:lang w:eastAsia="zh-CN"/>
        </w:rPr>
      </w:pPr>
      <w:r>
        <w:rPr>
          <w:rFonts w:hint="eastAsia"/>
        </w:rPr>
        <w:t>凡有意参加本次招标的投标人，在公告期内登陆：济钢集团有限公司阳光购销平台</w:t>
      </w:r>
      <w:r>
        <w:rPr>
          <w:rFonts w:hint="eastAsia"/>
        </w:rPr>
        <w:fldChar w:fldCharType="begin"/>
      </w:r>
      <w:r>
        <w:rPr>
          <w:rFonts w:hint="eastAsia"/>
        </w:rP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 ，注册用户成功后，须修改初始密码，重新登录后报名，报名成功后即可下载招标文件</w:t>
      </w:r>
      <w:r>
        <w:rPr>
          <w:rFonts w:hint="eastAsia"/>
          <w:lang w:eastAsia="zh-CN"/>
        </w:rPr>
        <w:t>。</w:t>
      </w:r>
    </w:p>
    <w:p w14:paraId="2EFA087C">
      <w:pPr>
        <w:widowControl/>
        <w:autoSpaceDE w:val="0"/>
        <w:autoSpaceDN w:val="0"/>
        <w:adjustRightInd w:val="0"/>
        <w:spacing w:line="360" w:lineRule="exact"/>
        <w:jc w:val="left"/>
        <w:rPr>
          <w:rFonts w:ascii="仿宋" w:hAnsi="仿宋" w:eastAsia="仿宋" w:cs="Arial Unicode MS"/>
          <w:kern w:val="0"/>
          <w:sz w:val="24"/>
          <w:szCs w:val="24"/>
          <w:lang w:val="zh-CN"/>
        </w:rPr>
      </w:pPr>
      <w:r>
        <w:rPr>
          <w:rFonts w:hint="eastAsia"/>
          <w:b/>
          <w:bCs/>
          <w:lang w:val="en-US" w:eastAsia="zh-CN"/>
        </w:rPr>
        <w:t>九、</w:t>
      </w:r>
      <w:r>
        <w:rPr>
          <w:rFonts w:hint="eastAsia"/>
          <w:b/>
          <w:bCs/>
          <w:lang w:val="zh-CN"/>
        </w:rPr>
        <w:t>投标文件的递交</w:t>
      </w:r>
    </w:p>
    <w:p w14:paraId="043EAB8B">
      <w:pPr>
        <w:spacing w:line="360" w:lineRule="auto"/>
        <w:ind w:firstLine="480" w:firstLineChars="200"/>
      </w:pPr>
      <w:r>
        <w:rPr>
          <w:rFonts w:hint="eastAsia"/>
          <w:lang w:val="zh-CN"/>
        </w:rPr>
        <w:t>网上递交（上传）</w:t>
      </w:r>
      <w:r>
        <w:rPr>
          <w:rFonts w:hint="eastAsia"/>
          <w:lang w:val="en-US" w:eastAsia="zh-CN"/>
        </w:rPr>
        <w:t>谈判</w:t>
      </w:r>
      <w:r>
        <w:rPr>
          <w:rFonts w:hint="eastAsia"/>
          <w:lang w:val="zh-CN"/>
        </w:rPr>
        <w:t>文件，递交的截</w:t>
      </w:r>
      <w:r>
        <w:rPr>
          <w:rFonts w:hint="eastAsia"/>
          <w:highlight w:val="none"/>
          <w:lang w:val="zh-CN"/>
        </w:rPr>
        <w:t>止时间（投标截止时间）为202</w:t>
      </w:r>
      <w:r>
        <w:rPr>
          <w:rFonts w:hint="eastAsia"/>
          <w:highlight w:val="none"/>
          <w:lang w:val="en-US" w:eastAsia="zh-CN"/>
        </w:rPr>
        <w:t>6</w:t>
      </w:r>
      <w:r>
        <w:rPr>
          <w:rFonts w:hint="eastAsia"/>
          <w:highlight w:val="none"/>
          <w:lang w:val="zh-CN"/>
        </w:rPr>
        <w:t>年</w:t>
      </w:r>
      <w:r>
        <w:rPr>
          <w:rFonts w:hint="eastAsia"/>
          <w:highlight w:val="none"/>
          <w:lang w:val="en-US" w:eastAsia="zh-CN"/>
        </w:rPr>
        <w:t>6</w:t>
      </w:r>
      <w:r>
        <w:rPr>
          <w:rFonts w:hint="eastAsia"/>
          <w:highlight w:val="none"/>
          <w:lang w:val="zh-CN"/>
        </w:rPr>
        <w:t>月</w:t>
      </w:r>
      <w:r>
        <w:rPr>
          <w:rFonts w:hint="eastAsia"/>
          <w:highlight w:val="none"/>
          <w:lang w:val="en-US" w:eastAsia="zh-CN"/>
        </w:rPr>
        <w:t>24</w:t>
      </w:r>
      <w:r>
        <w:rPr>
          <w:rFonts w:hint="eastAsia"/>
          <w:highlight w:val="none"/>
          <w:lang w:val="zh-CN"/>
        </w:rPr>
        <w:t>日</w:t>
      </w:r>
      <w:r>
        <w:rPr>
          <w:rFonts w:hint="eastAsia"/>
          <w:highlight w:val="none"/>
          <w:lang w:val="en-US" w:eastAsia="zh-CN"/>
        </w:rPr>
        <w:t>9</w:t>
      </w:r>
      <w:r>
        <w:rPr>
          <w:rFonts w:hint="eastAsia"/>
          <w:highlight w:val="none"/>
          <w:lang w:val="zh-CN"/>
        </w:rPr>
        <w:t>时</w:t>
      </w:r>
      <w:r>
        <w:rPr>
          <w:rFonts w:hint="eastAsia"/>
          <w:highlight w:val="none"/>
          <w:lang w:val="en-US" w:eastAsia="zh-CN"/>
        </w:rPr>
        <w:t>00</w:t>
      </w:r>
      <w:r>
        <w:rPr>
          <w:rFonts w:hint="eastAsia"/>
          <w:highlight w:val="none"/>
          <w:lang w:val="zh-CN"/>
        </w:rPr>
        <w:t>分，逾期递交的为无效投标；</w:t>
      </w:r>
      <w:r>
        <w:rPr>
          <w:rFonts w:hint="eastAsia"/>
          <w:highlight w:val="none"/>
          <w:lang w:val="en-US" w:eastAsia="zh-CN"/>
        </w:rPr>
        <w:t>投</w:t>
      </w:r>
      <w:r>
        <w:rPr>
          <w:rFonts w:hint="eastAsia"/>
          <w:lang w:val="en-US" w:eastAsia="zh-CN"/>
        </w:rPr>
        <w:t>标文件不到开标时间无法打开请投标单位放心上传</w:t>
      </w:r>
      <w:r>
        <w:rPr>
          <w:rFonts w:hint="eastAsia"/>
          <w:lang w:val="zh-CN"/>
        </w:rPr>
        <w:t>。</w:t>
      </w:r>
    </w:p>
    <w:p w14:paraId="0DCB6B57">
      <w:pPr>
        <w:spacing w:line="360" w:lineRule="auto"/>
        <w:rPr>
          <w:rFonts w:hint="eastAsia"/>
          <w:b/>
          <w:bCs/>
        </w:rPr>
      </w:pPr>
      <w:r>
        <w:rPr>
          <w:rFonts w:hint="eastAsia"/>
          <w:b/>
          <w:bCs/>
          <w:lang w:val="en-US" w:eastAsia="zh-CN"/>
        </w:rPr>
        <w:t>十</w:t>
      </w:r>
      <w:r>
        <w:rPr>
          <w:rFonts w:hint="eastAsia"/>
          <w:b/>
          <w:bCs/>
        </w:rPr>
        <w:t>、资格审查</w:t>
      </w:r>
    </w:p>
    <w:p w14:paraId="4E9D2114">
      <w:pPr>
        <w:spacing w:line="360" w:lineRule="auto"/>
        <w:ind w:firstLine="480" w:firstLineChars="200"/>
        <w:rPr>
          <w:rFonts w:hint="eastAsia"/>
        </w:rPr>
      </w:pPr>
      <w:r>
        <w:rPr>
          <w:rFonts w:hint="eastAsia"/>
        </w:rPr>
        <w:t>资格后审，不接受联合体。</w:t>
      </w:r>
    </w:p>
    <w:p w14:paraId="566B15F8">
      <w:pPr>
        <w:spacing w:line="360" w:lineRule="auto"/>
        <w:rPr>
          <w:rFonts w:hint="eastAsia"/>
          <w:b/>
          <w:bCs/>
        </w:rPr>
      </w:pPr>
      <w:r>
        <w:rPr>
          <w:rFonts w:hint="eastAsia"/>
          <w:b/>
          <w:bCs/>
        </w:rPr>
        <w:t>十</w:t>
      </w:r>
      <w:r>
        <w:rPr>
          <w:rFonts w:hint="eastAsia"/>
          <w:b/>
          <w:bCs/>
          <w:lang w:val="en-US" w:eastAsia="zh-CN"/>
        </w:rPr>
        <w:t>一</w:t>
      </w:r>
      <w:r>
        <w:rPr>
          <w:rFonts w:hint="eastAsia"/>
          <w:b/>
          <w:bCs/>
        </w:rPr>
        <w:t>、招标人的名称、地址和联系人</w:t>
      </w:r>
    </w:p>
    <w:p w14:paraId="4FF4DD1D">
      <w:pPr>
        <w:widowControl w:val="0"/>
        <w:spacing w:line="360" w:lineRule="auto"/>
        <w:ind w:firstLine="480" w:firstLineChars="200"/>
        <w:rPr>
          <w:rFonts w:cs="Times New Roman"/>
          <w:kern w:val="2"/>
          <w:szCs w:val="22"/>
        </w:rPr>
      </w:pPr>
      <w:r>
        <w:rPr>
          <w:rFonts w:hint="eastAsia"/>
        </w:rPr>
        <w:t>1、招标人的名称：</w:t>
      </w:r>
      <w:r>
        <w:rPr>
          <w:rFonts w:hint="eastAsia" w:cs="Times New Roman"/>
          <w:kern w:val="2"/>
          <w:szCs w:val="22"/>
        </w:rPr>
        <w:t>山东济钢</w:t>
      </w:r>
      <w:r>
        <w:rPr>
          <w:rFonts w:cs="Times New Roman"/>
          <w:kern w:val="2"/>
          <w:szCs w:val="22"/>
        </w:rPr>
        <w:t>环保新材料有限公司</w:t>
      </w:r>
    </w:p>
    <w:p w14:paraId="051B37E4">
      <w:pPr>
        <w:pStyle w:val="45"/>
        <w:spacing w:after="0" w:line="360" w:lineRule="auto"/>
        <w:ind w:left="0" w:leftChars="0" w:firstLine="480"/>
      </w:pPr>
      <w:r>
        <w:rPr>
          <w:rFonts w:hint="eastAsia"/>
        </w:rPr>
        <w:t>2、招标人的地址：山东省济南市章丘区官庄街道青野村东</w:t>
      </w:r>
    </w:p>
    <w:p w14:paraId="3F968695">
      <w:pPr>
        <w:spacing w:line="360" w:lineRule="auto"/>
        <w:ind w:firstLine="480" w:firstLineChars="200"/>
      </w:pPr>
      <w:r>
        <w:rPr>
          <w:rFonts w:hint="eastAsia"/>
        </w:rPr>
        <w:t>3</w:t>
      </w:r>
      <w:r>
        <w:t>、</w:t>
      </w:r>
      <w:r>
        <w:rPr>
          <w:rFonts w:hint="eastAsia"/>
        </w:rPr>
        <w:t>招</w:t>
      </w:r>
      <w:r>
        <w:rPr>
          <w:rFonts w:hint="eastAsia"/>
          <w:lang w:val="en-US" w:eastAsia="zh-CN"/>
        </w:rPr>
        <w:t>投</w:t>
      </w:r>
      <w:r>
        <w:rPr>
          <w:rFonts w:hint="eastAsia"/>
        </w:rPr>
        <w:t>标</w:t>
      </w:r>
      <w:r>
        <w:rPr>
          <w:rFonts w:hint="eastAsia"/>
          <w:lang w:val="en-US" w:eastAsia="zh-CN"/>
        </w:rPr>
        <w:t>咨询</w:t>
      </w:r>
      <w:r>
        <w:t>人：</w:t>
      </w:r>
      <w:r>
        <w:rPr>
          <w:rFonts w:hint="eastAsia"/>
          <w:lang w:val="en-US" w:eastAsia="zh-CN"/>
        </w:rPr>
        <w:t>于女士</w:t>
      </w:r>
      <w:r>
        <w:t>，联系电话：</w:t>
      </w:r>
      <w:r>
        <w:rPr>
          <w:rFonts w:hint="eastAsia"/>
          <w:highlight w:val="none"/>
          <w:lang w:val="en-US" w:eastAsia="zh-CN"/>
        </w:rPr>
        <w:t>17615831790</w:t>
      </w:r>
      <w:r>
        <w:t>；</w:t>
      </w:r>
    </w:p>
    <w:p w14:paraId="583F2E97">
      <w:pPr>
        <w:widowControl w:val="0"/>
        <w:spacing w:line="360" w:lineRule="auto"/>
        <w:ind w:firstLine="480" w:firstLineChars="200"/>
        <w:rPr>
          <w:rFonts w:hint="eastAsia" w:eastAsia="宋体"/>
          <w:lang w:eastAsia="zh-CN"/>
        </w:rPr>
      </w:pPr>
      <w:r>
        <w:rPr>
          <w:rFonts w:hint="eastAsia"/>
        </w:rPr>
        <w:t>4</w:t>
      </w:r>
      <w:r>
        <w:t>、</w:t>
      </w:r>
      <w:r>
        <w:rPr>
          <w:rFonts w:hint="eastAsia"/>
          <w:lang w:val="en-US" w:eastAsia="zh-CN"/>
        </w:rPr>
        <w:t>技术</w:t>
      </w:r>
      <w:r>
        <w:rPr>
          <w:rFonts w:hint="eastAsia"/>
        </w:rPr>
        <w:t>业务联系人：侯先生，联系电话：15066666837</w:t>
      </w:r>
      <w:r>
        <w:rPr>
          <w:rFonts w:hint="eastAsia"/>
          <w:lang w:eastAsia="zh-CN"/>
        </w:rPr>
        <w:t>。</w:t>
      </w:r>
    </w:p>
    <w:p w14:paraId="3EF6535F">
      <w:pPr>
        <w:widowControl w:val="0"/>
        <w:spacing w:line="360" w:lineRule="auto"/>
        <w:rPr>
          <w:rFonts w:cs="Times New Roman"/>
          <w:b/>
          <w:bCs/>
          <w:kern w:val="2"/>
          <w:szCs w:val="22"/>
        </w:rPr>
      </w:pPr>
      <w:r>
        <w:rPr>
          <w:rFonts w:hint="eastAsia" w:cs="Times New Roman"/>
          <w:b/>
          <w:bCs/>
          <w:kern w:val="2"/>
          <w:szCs w:val="22"/>
        </w:rPr>
        <w:t>十</w:t>
      </w:r>
      <w:r>
        <w:rPr>
          <w:rFonts w:hint="eastAsia" w:cs="Times New Roman"/>
          <w:b/>
          <w:bCs/>
          <w:kern w:val="2"/>
          <w:szCs w:val="22"/>
          <w:lang w:val="en-US" w:eastAsia="zh-CN"/>
        </w:rPr>
        <w:t>二</w:t>
      </w:r>
      <w:r>
        <w:rPr>
          <w:rFonts w:cs="Times New Roman"/>
          <w:b/>
          <w:bCs/>
          <w:kern w:val="2"/>
          <w:szCs w:val="22"/>
        </w:rPr>
        <w:t>、</w:t>
      </w:r>
      <w:r>
        <w:rPr>
          <w:rFonts w:hint="eastAsia" w:cs="Times New Roman"/>
          <w:b/>
          <w:bCs/>
          <w:kern w:val="2"/>
          <w:szCs w:val="22"/>
        </w:rPr>
        <w:t>安全要求</w:t>
      </w:r>
    </w:p>
    <w:p w14:paraId="6E8ABAD1">
      <w:pPr>
        <w:widowControl w:val="0"/>
        <w:spacing w:line="360" w:lineRule="auto"/>
        <w:ind w:firstLine="480" w:firstLineChars="200"/>
        <w:rPr>
          <w:rFonts w:hint="eastAsia" w:cs="Times New Roman"/>
          <w:kern w:val="2"/>
          <w:szCs w:val="22"/>
        </w:rPr>
      </w:pPr>
      <w:r>
        <w:rPr>
          <w:rFonts w:hint="eastAsia" w:cs="Times New Roman"/>
          <w:kern w:val="2"/>
          <w:szCs w:val="22"/>
        </w:rPr>
        <w:t>1、需要</w:t>
      </w:r>
      <w:r>
        <w:rPr>
          <w:rFonts w:cs="Times New Roman"/>
          <w:kern w:val="2"/>
          <w:szCs w:val="22"/>
        </w:rPr>
        <w:t>现场</w:t>
      </w:r>
      <w:r>
        <w:rPr>
          <w:rFonts w:hint="eastAsia" w:cs="Times New Roman"/>
          <w:kern w:val="2"/>
          <w:szCs w:val="22"/>
        </w:rPr>
        <w:t>踏勘时，</w:t>
      </w:r>
      <w:r>
        <w:rPr>
          <w:rFonts w:cs="Times New Roman"/>
          <w:kern w:val="2"/>
          <w:szCs w:val="22"/>
        </w:rPr>
        <w:t>必须遵守安全管理规定，服从现场</w:t>
      </w:r>
      <w:r>
        <w:rPr>
          <w:rFonts w:hint="eastAsia" w:cs="Times New Roman"/>
          <w:kern w:val="2"/>
          <w:szCs w:val="22"/>
        </w:rPr>
        <w:t>人员</w:t>
      </w:r>
      <w:r>
        <w:rPr>
          <w:rFonts w:cs="Times New Roman"/>
          <w:kern w:val="2"/>
          <w:szCs w:val="22"/>
        </w:rPr>
        <w:t>指挥</w:t>
      </w:r>
      <w:r>
        <w:rPr>
          <w:rFonts w:hint="eastAsia" w:cs="Times New Roman"/>
          <w:kern w:val="2"/>
          <w:szCs w:val="22"/>
        </w:rPr>
        <w:t>。参加投标的</w:t>
      </w:r>
      <w:r>
        <w:rPr>
          <w:rFonts w:cs="Times New Roman"/>
          <w:kern w:val="2"/>
          <w:szCs w:val="22"/>
        </w:rPr>
        <w:t>人员在济钢集团有限公司的一切活动，必须遵守济钢集团有限公司的安全规定。</w:t>
      </w:r>
    </w:p>
    <w:p w14:paraId="7BB78D2A">
      <w:pPr>
        <w:widowControl w:val="0"/>
        <w:spacing w:line="360" w:lineRule="auto"/>
        <w:ind w:firstLine="480" w:firstLineChars="200"/>
        <w:rPr>
          <w:rFonts w:hint="eastAsia" w:cs="Times New Roman"/>
          <w:kern w:val="2"/>
          <w:szCs w:val="22"/>
        </w:rPr>
      </w:pPr>
      <w:r>
        <w:rPr>
          <w:rFonts w:hint="eastAsia" w:cs="Times New Roman"/>
          <w:kern w:val="2"/>
          <w:szCs w:val="22"/>
        </w:rPr>
        <w:t>2、</w:t>
      </w:r>
      <w:r>
        <w:rPr>
          <w:rFonts w:hint="eastAsia" w:cs="Times New Roman"/>
          <w:kern w:val="2"/>
          <w:szCs w:val="22"/>
          <w:lang w:val="en-US" w:eastAsia="zh-CN"/>
        </w:rPr>
        <w:t>如遇突发</w:t>
      </w:r>
      <w:r>
        <w:rPr>
          <w:rFonts w:hint="eastAsia"/>
          <w:color w:val="000000"/>
          <w:lang w:val="en-US" w:eastAsia="zh-CN"/>
        </w:rPr>
        <w:t>情况</w:t>
      </w:r>
      <w:r>
        <w:rPr>
          <w:rFonts w:hint="eastAsia"/>
          <w:color w:val="000000"/>
        </w:rPr>
        <w:t>，开标时间和开标方式可能受到影响，我方有权进行调整，并将在合理有限时间在</w:t>
      </w:r>
      <w:r>
        <w:rPr>
          <w:rFonts w:hint="eastAsia"/>
        </w:rPr>
        <w:t>济钢集团有限公司阳光购销平台上</w:t>
      </w:r>
      <w:r>
        <w:rPr>
          <w:rFonts w:hint="eastAsia"/>
          <w:color w:val="000000"/>
        </w:rPr>
        <w:t>发布公告。请</w:t>
      </w:r>
      <w:r>
        <w:rPr>
          <w:rFonts w:hint="eastAsia"/>
        </w:rPr>
        <w:t>有意参加的投标人</w:t>
      </w:r>
      <w:r>
        <w:rPr>
          <w:rFonts w:hint="eastAsia"/>
          <w:color w:val="000000"/>
        </w:rPr>
        <w:t>每日登陆系统，用注册的用户名查找是否有澄清通知等信息，招标人不再单独通知，怠于登陆造成的后果由投标人承担。</w:t>
      </w:r>
    </w:p>
    <w:p w14:paraId="12C8E674">
      <w:pPr>
        <w:pStyle w:val="45"/>
        <w:ind w:left="0" w:leftChars="0" w:firstLine="0" w:firstLineChars="0"/>
        <w:rPr>
          <w:b/>
          <w:bCs/>
        </w:rPr>
      </w:pPr>
      <w:r>
        <w:rPr>
          <w:rFonts w:hint="eastAsia" w:ascii="宋体" w:hAnsi="宋体"/>
          <w:b/>
          <w:bCs/>
          <w:color w:val="000000"/>
        </w:rPr>
        <w:t>十</w:t>
      </w:r>
      <w:r>
        <w:rPr>
          <w:rFonts w:hint="eastAsia" w:ascii="宋体" w:hAnsi="宋体"/>
          <w:b/>
          <w:bCs/>
          <w:color w:val="000000"/>
          <w:lang w:val="en-US" w:eastAsia="zh-CN"/>
        </w:rPr>
        <w:t>三</w:t>
      </w:r>
      <w:r>
        <w:rPr>
          <w:rFonts w:hint="eastAsia" w:ascii="宋体" w:hAnsi="宋体"/>
          <w:b/>
          <w:bCs/>
          <w:color w:val="000000"/>
        </w:rPr>
        <w:t>、公告中的内容和要求以最终的招标文件为准。</w:t>
      </w:r>
    </w:p>
    <w:p w14:paraId="4292D9E2">
      <w:pPr>
        <w:widowControl w:val="0"/>
        <w:spacing w:line="360" w:lineRule="auto"/>
        <w:ind w:firstLine="4320" w:firstLineChars="1800"/>
        <w:rPr>
          <w:rFonts w:cs="Times New Roman"/>
          <w:kern w:val="2"/>
          <w:szCs w:val="22"/>
        </w:rPr>
      </w:pPr>
      <w:r>
        <w:rPr>
          <w:rFonts w:hint="eastAsia" w:cs="Times New Roman"/>
          <w:kern w:val="2"/>
          <w:szCs w:val="22"/>
        </w:rPr>
        <w:t>山东济钢</w:t>
      </w:r>
      <w:r>
        <w:rPr>
          <w:rFonts w:cs="Times New Roman"/>
          <w:kern w:val="2"/>
          <w:szCs w:val="22"/>
        </w:rPr>
        <w:t>环保新材料有限公司</w:t>
      </w:r>
    </w:p>
    <w:p w14:paraId="563A64F4">
      <w:pPr>
        <w:widowControl w:val="0"/>
        <w:spacing w:line="360" w:lineRule="auto"/>
        <w:ind w:firstLine="5040" w:firstLineChars="2100"/>
        <w:rPr>
          <w:rFonts w:cs="Times New Roman"/>
          <w:kern w:val="2"/>
          <w:szCs w:val="22"/>
          <w:highlight w:val="none"/>
        </w:rPr>
      </w:pPr>
      <w:r>
        <w:rPr>
          <w:rFonts w:cs="Times New Roman"/>
          <w:kern w:val="2"/>
          <w:szCs w:val="22"/>
          <w:highlight w:val="none"/>
        </w:rPr>
        <w:t>20</w:t>
      </w:r>
      <w:r>
        <w:rPr>
          <w:rFonts w:hint="eastAsia" w:cs="Times New Roman"/>
          <w:kern w:val="2"/>
          <w:szCs w:val="22"/>
          <w:highlight w:val="none"/>
        </w:rPr>
        <w:t>2</w:t>
      </w:r>
      <w:r>
        <w:rPr>
          <w:rFonts w:hint="eastAsia" w:cs="Times New Roman"/>
          <w:kern w:val="2"/>
          <w:szCs w:val="22"/>
          <w:highlight w:val="none"/>
          <w:lang w:val="en-US" w:eastAsia="zh-CN"/>
        </w:rPr>
        <w:t>6</w:t>
      </w:r>
      <w:r>
        <w:rPr>
          <w:rFonts w:cs="Times New Roman"/>
          <w:kern w:val="2"/>
          <w:szCs w:val="22"/>
          <w:highlight w:val="none"/>
        </w:rPr>
        <w:t>年</w:t>
      </w:r>
      <w:r>
        <w:rPr>
          <w:rFonts w:hint="eastAsia" w:cs="Times New Roman"/>
          <w:kern w:val="2"/>
          <w:szCs w:val="22"/>
          <w:highlight w:val="none"/>
          <w:lang w:val="en-US" w:eastAsia="zh-CN"/>
        </w:rPr>
        <w:t>6</w:t>
      </w:r>
      <w:r>
        <w:rPr>
          <w:rFonts w:cs="Times New Roman"/>
          <w:kern w:val="2"/>
          <w:szCs w:val="22"/>
          <w:highlight w:val="none"/>
        </w:rPr>
        <w:t>月</w:t>
      </w:r>
      <w:r>
        <w:rPr>
          <w:rFonts w:hint="eastAsia" w:cs="Times New Roman"/>
          <w:kern w:val="2"/>
          <w:szCs w:val="22"/>
          <w:highlight w:val="none"/>
          <w:lang w:val="en-US" w:eastAsia="zh-CN"/>
        </w:rPr>
        <w:t>18</w:t>
      </w:r>
      <w:r>
        <w:rPr>
          <w:rFonts w:cs="Times New Roman"/>
          <w:kern w:val="2"/>
          <w:szCs w:val="22"/>
          <w:highlight w:val="none"/>
        </w:rPr>
        <w:t>日</w:t>
      </w:r>
    </w:p>
    <w:p w14:paraId="7C4DA393">
      <w:pPr>
        <w:pStyle w:val="56"/>
        <w:spacing w:before="156"/>
        <w:rPr>
          <w:b w:val="0"/>
          <w:bCs/>
          <w:sz w:val="36"/>
          <w:szCs w:val="36"/>
        </w:rPr>
      </w:pPr>
      <w:bookmarkStart w:id="18" w:name="_Toc508871671"/>
      <w:r>
        <w:rPr>
          <w:b w:val="0"/>
          <w:bCs/>
          <w:sz w:val="36"/>
          <w:szCs w:val="36"/>
        </w:rPr>
        <w:br w:type="page"/>
      </w:r>
      <w:bookmarkStart w:id="19" w:name="_Toc17877_WPSOffice_Level1"/>
      <w:bookmarkStart w:id="20" w:name="_Toc29274_WPSOffice_Level1"/>
      <w:r>
        <w:rPr>
          <w:rFonts w:hint="eastAsia"/>
          <w:b w:val="0"/>
          <w:bCs/>
          <w:sz w:val="36"/>
          <w:szCs w:val="36"/>
        </w:rPr>
        <w:t>第二章</w:t>
      </w:r>
      <w:r>
        <w:rPr>
          <w:b w:val="0"/>
          <w:bCs/>
          <w:sz w:val="36"/>
          <w:szCs w:val="36"/>
        </w:rPr>
        <w:t xml:space="preserve">  </w:t>
      </w:r>
      <w:r>
        <w:rPr>
          <w:rFonts w:hint="eastAsia"/>
          <w:b w:val="0"/>
          <w:bCs/>
          <w:sz w:val="36"/>
          <w:szCs w:val="36"/>
        </w:rPr>
        <w:t>招标须知</w:t>
      </w:r>
      <w:bookmarkEnd w:id="18"/>
      <w:bookmarkEnd w:id="19"/>
      <w:bookmarkEnd w:id="20"/>
    </w:p>
    <w:p w14:paraId="0BBAFD6A">
      <w:pPr>
        <w:pStyle w:val="64"/>
        <w:rPr>
          <w:sz w:val="30"/>
          <w:szCs w:val="30"/>
        </w:rPr>
      </w:pPr>
      <w:bookmarkStart w:id="21" w:name="_Toc508871672"/>
      <w:r>
        <w:rPr>
          <w:rStyle w:val="96"/>
          <w:rFonts w:hint="eastAsia"/>
          <w:b w:val="0"/>
          <w:bCs w:val="0"/>
        </w:rPr>
        <w:t>须知前附表</w:t>
      </w:r>
      <w:bookmarkEnd w:id="21"/>
    </w:p>
    <w:tbl>
      <w:tblPr>
        <w:tblStyle w:val="46"/>
        <w:tblW w:w="9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660"/>
        <w:gridCol w:w="7138"/>
        <w:gridCol w:w="13"/>
      </w:tblGrid>
      <w:tr w14:paraId="3D68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58" w:type="dxa"/>
            <w:noWrap w:val="0"/>
            <w:vAlign w:val="center"/>
          </w:tcPr>
          <w:p w14:paraId="76B270B8">
            <w:pPr>
              <w:spacing w:line="400" w:lineRule="exact"/>
              <w:jc w:val="center"/>
              <w:rPr>
                <w:b/>
              </w:rPr>
            </w:pPr>
            <w:r>
              <w:rPr>
                <w:rFonts w:hint="eastAsia"/>
                <w:b/>
              </w:rPr>
              <w:t>条款号</w:t>
            </w:r>
          </w:p>
        </w:tc>
        <w:tc>
          <w:tcPr>
            <w:tcW w:w="1660" w:type="dxa"/>
            <w:noWrap w:val="0"/>
            <w:vAlign w:val="center"/>
          </w:tcPr>
          <w:p w14:paraId="3DC3F018">
            <w:pPr>
              <w:spacing w:line="400" w:lineRule="exact"/>
              <w:jc w:val="center"/>
              <w:rPr>
                <w:b/>
              </w:rPr>
            </w:pPr>
            <w:r>
              <w:rPr>
                <w:rFonts w:hint="eastAsia"/>
                <w:b/>
              </w:rPr>
              <w:t>条款名称</w:t>
            </w:r>
          </w:p>
        </w:tc>
        <w:tc>
          <w:tcPr>
            <w:tcW w:w="7151" w:type="dxa"/>
            <w:gridSpan w:val="2"/>
            <w:noWrap w:val="0"/>
            <w:vAlign w:val="center"/>
          </w:tcPr>
          <w:p w14:paraId="552F2B9F">
            <w:pPr>
              <w:spacing w:line="340" w:lineRule="exact"/>
              <w:jc w:val="center"/>
              <w:rPr>
                <w:b/>
              </w:rPr>
            </w:pPr>
            <w:r>
              <w:rPr>
                <w:rFonts w:hint="eastAsia"/>
                <w:b/>
              </w:rPr>
              <w:t>编列内容</w:t>
            </w:r>
          </w:p>
        </w:tc>
      </w:tr>
      <w:tr w14:paraId="0CE4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6512A188">
            <w:pPr>
              <w:jc w:val="center"/>
            </w:pPr>
            <w:r>
              <w:rPr>
                <w:rFonts w:hint="eastAsia"/>
              </w:rPr>
              <w:t>1.1.1</w:t>
            </w:r>
          </w:p>
        </w:tc>
        <w:tc>
          <w:tcPr>
            <w:tcW w:w="1660" w:type="dxa"/>
            <w:noWrap w:val="0"/>
            <w:vAlign w:val="center"/>
          </w:tcPr>
          <w:p w14:paraId="6CD9D632">
            <w:pPr>
              <w:jc w:val="center"/>
            </w:pPr>
            <w:r>
              <w:rPr>
                <w:rFonts w:hint="eastAsia"/>
              </w:rPr>
              <w:t>招标人</w:t>
            </w:r>
          </w:p>
        </w:tc>
        <w:tc>
          <w:tcPr>
            <w:tcW w:w="7151" w:type="dxa"/>
            <w:gridSpan w:val="2"/>
            <w:noWrap w:val="0"/>
            <w:vAlign w:val="center"/>
          </w:tcPr>
          <w:p w14:paraId="4CB6FDDA">
            <w:pPr>
              <w:spacing w:line="340" w:lineRule="exact"/>
            </w:pPr>
            <w:r>
              <w:rPr>
                <w:rFonts w:hint="eastAsia"/>
              </w:rPr>
              <w:t>山东济钢环保新材料有限公司</w:t>
            </w:r>
          </w:p>
        </w:tc>
      </w:tr>
      <w:tr w14:paraId="0216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52D81688">
            <w:pPr>
              <w:jc w:val="center"/>
            </w:pPr>
            <w:r>
              <w:rPr>
                <w:rFonts w:hint="eastAsia"/>
              </w:rPr>
              <w:t>1.1.2</w:t>
            </w:r>
          </w:p>
        </w:tc>
        <w:tc>
          <w:tcPr>
            <w:tcW w:w="1660" w:type="dxa"/>
            <w:noWrap w:val="0"/>
            <w:vAlign w:val="center"/>
          </w:tcPr>
          <w:p w14:paraId="652676ED">
            <w:pPr>
              <w:jc w:val="center"/>
            </w:pPr>
            <w:r>
              <w:rPr>
                <w:rFonts w:hint="eastAsia"/>
              </w:rPr>
              <w:t>项目名称</w:t>
            </w:r>
          </w:p>
        </w:tc>
        <w:tc>
          <w:tcPr>
            <w:tcW w:w="7151" w:type="dxa"/>
            <w:gridSpan w:val="2"/>
            <w:noWrap w:val="0"/>
            <w:vAlign w:val="center"/>
          </w:tcPr>
          <w:p w14:paraId="69992F78">
            <w:pPr>
              <w:spacing w:line="340" w:lineRule="exact"/>
              <w:rPr>
                <w:rFonts w:hint="default" w:eastAsia="宋体"/>
                <w:lang w:val="en-US" w:eastAsia="zh-CN"/>
              </w:rPr>
            </w:pPr>
            <w:r>
              <w:rPr>
                <w:rFonts w:hint="eastAsia"/>
                <w:lang w:val="zh-CN" w:eastAsia="zh-CN"/>
              </w:rPr>
              <w:t>2026年-2029年高压电机维修保养服务项目</w:t>
            </w:r>
          </w:p>
        </w:tc>
      </w:tr>
      <w:tr w14:paraId="7FB3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958" w:type="dxa"/>
            <w:noWrap w:val="0"/>
            <w:vAlign w:val="center"/>
          </w:tcPr>
          <w:p w14:paraId="2981AC71">
            <w:pPr>
              <w:jc w:val="center"/>
            </w:pPr>
            <w:r>
              <w:rPr>
                <w:rFonts w:hint="eastAsia"/>
              </w:rPr>
              <w:t>1.1.3</w:t>
            </w:r>
          </w:p>
        </w:tc>
        <w:tc>
          <w:tcPr>
            <w:tcW w:w="1660" w:type="dxa"/>
            <w:noWrap w:val="0"/>
            <w:vAlign w:val="center"/>
          </w:tcPr>
          <w:p w14:paraId="261AF53D">
            <w:pPr>
              <w:spacing w:line="240" w:lineRule="atLeast"/>
              <w:jc w:val="center"/>
            </w:pPr>
            <w:r>
              <w:rPr>
                <w:rFonts w:hint="eastAsia"/>
              </w:rPr>
              <w:t>项目概况</w:t>
            </w:r>
          </w:p>
        </w:tc>
        <w:tc>
          <w:tcPr>
            <w:tcW w:w="7151" w:type="dxa"/>
            <w:gridSpan w:val="2"/>
            <w:noWrap w:val="0"/>
            <w:vAlign w:val="center"/>
          </w:tcPr>
          <w:p w14:paraId="643B5BB6">
            <w:pPr>
              <w:spacing w:line="340" w:lineRule="exact"/>
              <w:rPr>
                <w:rFonts w:hint="default" w:eastAsia="宋体"/>
                <w:lang w:val="en-US" w:eastAsia="zh-CN"/>
              </w:rPr>
            </w:pPr>
            <w:r>
              <w:rPr>
                <w:rFonts w:hint="eastAsia"/>
                <w:lang w:val="en-US" w:eastAsia="zh-CN"/>
              </w:rPr>
              <w:t>高压电机维修项目</w:t>
            </w:r>
            <w:r>
              <w:rPr>
                <w:rFonts w:hint="eastAsia"/>
                <w:lang w:val="zh-CN" w:eastAsia="zh-CN"/>
              </w:rPr>
              <w:t>，</w:t>
            </w:r>
            <w:r>
              <w:rPr>
                <w:rFonts w:hint="eastAsia"/>
                <w:lang w:val="en-US" w:eastAsia="zh-CN"/>
              </w:rPr>
              <w:t>确定单价后按照实际工作量和单价据实结算</w:t>
            </w:r>
          </w:p>
        </w:tc>
      </w:tr>
      <w:tr w14:paraId="4FA0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192D59EB">
            <w:pPr>
              <w:jc w:val="center"/>
              <w:rPr>
                <w:rFonts w:hint="eastAsia"/>
              </w:rPr>
            </w:pPr>
            <w:r>
              <w:rPr>
                <w:rFonts w:hint="eastAsia"/>
              </w:rPr>
              <w:t>1.1.4</w:t>
            </w:r>
          </w:p>
        </w:tc>
        <w:tc>
          <w:tcPr>
            <w:tcW w:w="1660" w:type="dxa"/>
            <w:noWrap w:val="0"/>
            <w:vAlign w:val="center"/>
          </w:tcPr>
          <w:p w14:paraId="53631EBD">
            <w:pPr>
              <w:spacing w:line="240" w:lineRule="atLeast"/>
              <w:jc w:val="center"/>
            </w:pPr>
            <w:r>
              <w:rPr>
                <w:rFonts w:hint="eastAsia"/>
              </w:rPr>
              <w:t>项目地点</w:t>
            </w:r>
          </w:p>
        </w:tc>
        <w:tc>
          <w:tcPr>
            <w:tcW w:w="7151" w:type="dxa"/>
            <w:gridSpan w:val="2"/>
            <w:noWrap w:val="0"/>
            <w:vAlign w:val="center"/>
          </w:tcPr>
          <w:p w14:paraId="4BEB3CBE">
            <w:pPr>
              <w:spacing w:line="340" w:lineRule="exact"/>
            </w:pPr>
            <w:r>
              <w:rPr>
                <w:rFonts w:hint="eastAsia"/>
              </w:rPr>
              <w:t>山东省济南市章丘区官庄街道青野村东</w:t>
            </w:r>
          </w:p>
        </w:tc>
      </w:tr>
      <w:tr w14:paraId="1D67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620ABE4F">
            <w:pPr>
              <w:jc w:val="center"/>
            </w:pPr>
            <w:r>
              <w:rPr>
                <w:rFonts w:hint="eastAsia"/>
              </w:rPr>
              <w:t>1.2.1</w:t>
            </w:r>
          </w:p>
        </w:tc>
        <w:tc>
          <w:tcPr>
            <w:tcW w:w="1660" w:type="dxa"/>
            <w:noWrap w:val="0"/>
            <w:vAlign w:val="center"/>
          </w:tcPr>
          <w:p w14:paraId="4C11C3F5">
            <w:pPr>
              <w:spacing w:line="240" w:lineRule="atLeast"/>
              <w:jc w:val="center"/>
            </w:pPr>
            <w:r>
              <w:rPr>
                <w:rFonts w:hint="eastAsia"/>
              </w:rPr>
              <w:t>资金来源</w:t>
            </w:r>
          </w:p>
        </w:tc>
        <w:tc>
          <w:tcPr>
            <w:tcW w:w="7151" w:type="dxa"/>
            <w:gridSpan w:val="2"/>
            <w:noWrap w:val="0"/>
            <w:vAlign w:val="center"/>
          </w:tcPr>
          <w:p w14:paraId="23809A42">
            <w:pPr>
              <w:spacing w:line="340" w:lineRule="exact"/>
            </w:pPr>
            <w:r>
              <w:rPr>
                <w:rFonts w:hint="eastAsia"/>
              </w:rPr>
              <w:t>自有资金</w:t>
            </w:r>
          </w:p>
          <w:p w14:paraId="6EFE3C38">
            <w:pPr>
              <w:spacing w:line="340" w:lineRule="exact"/>
            </w:pPr>
          </w:p>
        </w:tc>
      </w:tr>
      <w:tr w14:paraId="713B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33F7F1A8">
            <w:pPr>
              <w:jc w:val="center"/>
            </w:pPr>
            <w:r>
              <w:rPr>
                <w:rFonts w:hint="eastAsia"/>
              </w:rPr>
              <w:t>1.2.2</w:t>
            </w:r>
          </w:p>
        </w:tc>
        <w:tc>
          <w:tcPr>
            <w:tcW w:w="1660" w:type="dxa"/>
            <w:noWrap w:val="0"/>
            <w:vAlign w:val="center"/>
          </w:tcPr>
          <w:p w14:paraId="7834E716">
            <w:pPr>
              <w:spacing w:line="240" w:lineRule="atLeast"/>
              <w:jc w:val="center"/>
            </w:pPr>
            <w:r>
              <w:rPr>
                <w:rFonts w:hint="eastAsia"/>
              </w:rPr>
              <w:t>招标方式</w:t>
            </w:r>
          </w:p>
        </w:tc>
        <w:tc>
          <w:tcPr>
            <w:tcW w:w="7151" w:type="dxa"/>
            <w:gridSpan w:val="2"/>
            <w:noWrap w:val="0"/>
            <w:vAlign w:val="center"/>
          </w:tcPr>
          <w:p w14:paraId="68C0ADBC">
            <w:pPr>
              <w:spacing w:line="340" w:lineRule="exact"/>
            </w:pPr>
            <w:r>
              <w:rPr>
                <w:rFonts w:hint="eastAsia"/>
              </w:rPr>
              <w:t>公开招标，资格后审</w:t>
            </w:r>
          </w:p>
        </w:tc>
      </w:tr>
      <w:tr w14:paraId="6366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958" w:type="dxa"/>
            <w:noWrap w:val="0"/>
            <w:vAlign w:val="center"/>
          </w:tcPr>
          <w:p w14:paraId="6730933D">
            <w:pPr>
              <w:jc w:val="center"/>
            </w:pPr>
            <w:r>
              <w:rPr>
                <w:rFonts w:hint="eastAsia"/>
              </w:rPr>
              <w:t>1.3.1</w:t>
            </w:r>
          </w:p>
        </w:tc>
        <w:tc>
          <w:tcPr>
            <w:tcW w:w="1660" w:type="dxa"/>
            <w:noWrap w:val="0"/>
            <w:vAlign w:val="center"/>
          </w:tcPr>
          <w:p w14:paraId="1DDDCB0A">
            <w:pPr>
              <w:spacing w:line="360" w:lineRule="exact"/>
              <w:jc w:val="center"/>
            </w:pPr>
            <w:r>
              <w:rPr>
                <w:rFonts w:hint="eastAsia"/>
              </w:rPr>
              <w:t>招标范围</w:t>
            </w:r>
          </w:p>
        </w:tc>
        <w:tc>
          <w:tcPr>
            <w:tcW w:w="7151" w:type="dxa"/>
            <w:gridSpan w:val="2"/>
            <w:noWrap w:val="0"/>
            <w:vAlign w:val="center"/>
          </w:tcPr>
          <w:p w14:paraId="074D2DE5">
            <w:pPr>
              <w:spacing w:line="360" w:lineRule="auto"/>
              <w:rPr>
                <w:rFonts w:hint="default" w:eastAsia="宋体"/>
                <w:lang w:val="en-US" w:eastAsia="zh-CN"/>
              </w:rPr>
            </w:pPr>
            <w:r>
              <w:rPr>
                <w:rFonts w:hint="eastAsia"/>
                <w:lang w:val="en-US" w:eastAsia="zh-CN"/>
              </w:rPr>
              <w:t>见招标公告</w:t>
            </w:r>
          </w:p>
        </w:tc>
      </w:tr>
      <w:tr w14:paraId="2690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958" w:type="dxa"/>
            <w:noWrap w:val="0"/>
            <w:vAlign w:val="center"/>
          </w:tcPr>
          <w:p w14:paraId="4CB3D782">
            <w:pPr>
              <w:spacing w:line="240" w:lineRule="atLeast"/>
              <w:jc w:val="center"/>
            </w:pPr>
            <w:r>
              <w:rPr>
                <w:rFonts w:hint="eastAsia"/>
              </w:rPr>
              <w:t>1.3.3</w:t>
            </w:r>
          </w:p>
        </w:tc>
        <w:tc>
          <w:tcPr>
            <w:tcW w:w="1660" w:type="dxa"/>
            <w:noWrap w:val="0"/>
            <w:vAlign w:val="center"/>
          </w:tcPr>
          <w:p w14:paraId="2BEDE5EA">
            <w:pPr>
              <w:spacing w:line="240" w:lineRule="atLeast"/>
              <w:jc w:val="center"/>
            </w:pPr>
            <w:r>
              <w:rPr>
                <w:rFonts w:hint="eastAsia"/>
              </w:rPr>
              <w:t>地点</w:t>
            </w:r>
          </w:p>
        </w:tc>
        <w:tc>
          <w:tcPr>
            <w:tcW w:w="7151" w:type="dxa"/>
            <w:gridSpan w:val="2"/>
            <w:noWrap w:val="0"/>
            <w:vAlign w:val="center"/>
          </w:tcPr>
          <w:p w14:paraId="58171458">
            <w:pPr>
              <w:spacing w:line="340" w:lineRule="exact"/>
              <w:rPr>
                <w:b/>
              </w:rPr>
            </w:pPr>
            <w:r>
              <w:rPr>
                <w:rFonts w:hint="eastAsia"/>
              </w:rPr>
              <w:t>山东省济南市章丘区官庄街道青野村东</w:t>
            </w:r>
          </w:p>
        </w:tc>
      </w:tr>
      <w:tr w14:paraId="6656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57FFF775">
            <w:pPr>
              <w:spacing w:line="240" w:lineRule="atLeast"/>
              <w:jc w:val="center"/>
              <w:rPr>
                <w:rFonts w:hint="eastAsia"/>
              </w:rPr>
            </w:pPr>
            <w:r>
              <w:rPr>
                <w:rFonts w:hint="eastAsia"/>
              </w:rPr>
              <w:t>1.3.4</w:t>
            </w:r>
          </w:p>
        </w:tc>
        <w:tc>
          <w:tcPr>
            <w:tcW w:w="1660" w:type="dxa"/>
            <w:noWrap w:val="0"/>
            <w:vAlign w:val="center"/>
          </w:tcPr>
          <w:p w14:paraId="2FC1E6C2">
            <w:pPr>
              <w:spacing w:line="240" w:lineRule="atLeast"/>
              <w:jc w:val="center"/>
              <w:rPr>
                <w:b/>
              </w:rPr>
            </w:pPr>
            <w:r>
              <w:rPr>
                <w:rFonts w:hint="eastAsia"/>
              </w:rPr>
              <w:t>质保期</w:t>
            </w:r>
          </w:p>
        </w:tc>
        <w:tc>
          <w:tcPr>
            <w:tcW w:w="7151" w:type="dxa"/>
            <w:gridSpan w:val="2"/>
            <w:noWrap w:val="0"/>
            <w:vAlign w:val="center"/>
          </w:tcPr>
          <w:p w14:paraId="0404483E">
            <w:pPr>
              <w:spacing w:line="340" w:lineRule="exact"/>
              <w:rPr>
                <w:rFonts w:hint="default" w:eastAsia="宋体"/>
                <w:b/>
                <w:lang w:val="en-US" w:eastAsia="zh-CN"/>
              </w:rPr>
            </w:pPr>
            <w:r>
              <w:rPr>
                <w:rFonts w:hint="eastAsia"/>
                <w:lang w:val="en-US" w:eastAsia="zh-CN"/>
              </w:rPr>
              <w:t>维修送回后12个月</w:t>
            </w:r>
          </w:p>
        </w:tc>
      </w:tr>
      <w:tr w14:paraId="7AC7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58" w:type="dxa"/>
            <w:noWrap w:val="0"/>
            <w:vAlign w:val="center"/>
          </w:tcPr>
          <w:p w14:paraId="2FD9D739">
            <w:pPr>
              <w:jc w:val="center"/>
            </w:pPr>
            <w:r>
              <w:rPr>
                <w:rFonts w:hint="eastAsia"/>
              </w:rPr>
              <w:t>1.4.1</w:t>
            </w:r>
          </w:p>
        </w:tc>
        <w:tc>
          <w:tcPr>
            <w:tcW w:w="1660" w:type="dxa"/>
            <w:noWrap w:val="0"/>
            <w:vAlign w:val="center"/>
          </w:tcPr>
          <w:p w14:paraId="6BE12246">
            <w:pPr>
              <w:spacing w:line="360" w:lineRule="exact"/>
              <w:jc w:val="center"/>
            </w:pPr>
            <w:r>
              <w:rPr>
                <w:rFonts w:hint="eastAsia"/>
              </w:rPr>
              <w:t xml:space="preserve">投标人的资格要求 </w:t>
            </w:r>
          </w:p>
        </w:tc>
        <w:tc>
          <w:tcPr>
            <w:tcW w:w="7151" w:type="dxa"/>
            <w:gridSpan w:val="2"/>
            <w:noWrap w:val="0"/>
            <w:vAlign w:val="center"/>
          </w:tcPr>
          <w:p w14:paraId="5FD17BA7">
            <w:pPr>
              <w:spacing w:line="340" w:lineRule="exact"/>
              <w:rPr>
                <w:rFonts w:hint="default" w:eastAsia="宋体"/>
                <w:lang w:val="en-US" w:eastAsia="zh-CN"/>
              </w:rPr>
            </w:pPr>
            <w:r>
              <w:rPr>
                <w:rFonts w:hint="eastAsia"/>
                <w:lang w:val="en-US" w:eastAsia="zh-CN"/>
              </w:rPr>
              <w:t>见招标公告</w:t>
            </w:r>
          </w:p>
        </w:tc>
      </w:tr>
      <w:tr w14:paraId="39C63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3E55CD3F">
            <w:pPr>
              <w:spacing w:line="240" w:lineRule="atLeast"/>
              <w:jc w:val="center"/>
            </w:pPr>
            <w:r>
              <w:rPr>
                <w:rFonts w:hint="eastAsia"/>
              </w:rPr>
              <w:t>1.4.2</w:t>
            </w:r>
          </w:p>
        </w:tc>
        <w:tc>
          <w:tcPr>
            <w:tcW w:w="1660" w:type="dxa"/>
            <w:noWrap w:val="0"/>
            <w:vAlign w:val="center"/>
          </w:tcPr>
          <w:p w14:paraId="086BD154">
            <w:pPr>
              <w:spacing w:line="240" w:lineRule="atLeast"/>
              <w:jc w:val="center"/>
            </w:pPr>
            <w:r>
              <w:rPr>
                <w:rFonts w:hint="eastAsia"/>
              </w:rPr>
              <w:t>是否接受联合体</w:t>
            </w:r>
          </w:p>
        </w:tc>
        <w:tc>
          <w:tcPr>
            <w:tcW w:w="7151" w:type="dxa"/>
            <w:gridSpan w:val="2"/>
            <w:noWrap w:val="0"/>
            <w:vAlign w:val="center"/>
          </w:tcPr>
          <w:p w14:paraId="50DC7154">
            <w:pPr>
              <w:spacing w:line="340" w:lineRule="exact"/>
            </w:pPr>
            <w:r>
              <w:rPr>
                <w:rFonts w:hint="eastAsia"/>
              </w:rPr>
              <w:t>不接受</w:t>
            </w:r>
          </w:p>
        </w:tc>
      </w:tr>
      <w:tr w14:paraId="2436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4EBB5CF8">
            <w:pPr>
              <w:spacing w:line="240" w:lineRule="atLeast"/>
              <w:jc w:val="center"/>
              <w:rPr>
                <w:rFonts w:hint="eastAsia"/>
              </w:rPr>
            </w:pPr>
            <w:r>
              <w:rPr>
                <w:rFonts w:hint="eastAsia"/>
              </w:rPr>
              <w:t>1.9</w:t>
            </w:r>
          </w:p>
        </w:tc>
        <w:tc>
          <w:tcPr>
            <w:tcW w:w="1660" w:type="dxa"/>
            <w:noWrap w:val="0"/>
            <w:vAlign w:val="center"/>
          </w:tcPr>
          <w:p w14:paraId="6D061A13">
            <w:pPr>
              <w:spacing w:line="240" w:lineRule="atLeast"/>
              <w:jc w:val="center"/>
            </w:pPr>
            <w:r>
              <w:rPr>
                <w:rFonts w:hint="eastAsia"/>
              </w:rPr>
              <w:t>是否组织现场踏勘</w:t>
            </w:r>
          </w:p>
        </w:tc>
        <w:tc>
          <w:tcPr>
            <w:tcW w:w="7151" w:type="dxa"/>
            <w:gridSpan w:val="2"/>
            <w:noWrap w:val="0"/>
            <w:vAlign w:val="center"/>
          </w:tcPr>
          <w:p w14:paraId="735F5CD3">
            <w:pPr>
              <w:spacing w:line="340" w:lineRule="exact"/>
            </w:pPr>
            <w:r>
              <w:rPr>
                <w:rFonts w:hint="eastAsia"/>
              </w:rPr>
              <w:t>不统一组织现场踏勘</w:t>
            </w:r>
          </w:p>
        </w:tc>
      </w:tr>
      <w:tr w14:paraId="783F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108D2618">
            <w:pPr>
              <w:spacing w:line="240" w:lineRule="atLeast"/>
              <w:jc w:val="center"/>
            </w:pPr>
            <w:r>
              <w:rPr>
                <w:rFonts w:hint="eastAsia"/>
              </w:rPr>
              <w:t>1.10</w:t>
            </w:r>
          </w:p>
        </w:tc>
        <w:tc>
          <w:tcPr>
            <w:tcW w:w="1660" w:type="dxa"/>
            <w:noWrap w:val="0"/>
            <w:vAlign w:val="center"/>
          </w:tcPr>
          <w:p w14:paraId="3CCC8511">
            <w:pPr>
              <w:spacing w:line="240" w:lineRule="atLeast"/>
              <w:jc w:val="center"/>
            </w:pPr>
            <w:r>
              <w:rPr>
                <w:rFonts w:hint="eastAsia"/>
              </w:rPr>
              <w:t>招标预备会</w:t>
            </w:r>
          </w:p>
        </w:tc>
        <w:tc>
          <w:tcPr>
            <w:tcW w:w="7151" w:type="dxa"/>
            <w:gridSpan w:val="2"/>
            <w:noWrap w:val="0"/>
            <w:vAlign w:val="center"/>
          </w:tcPr>
          <w:p w14:paraId="0F0E0220">
            <w:pPr>
              <w:spacing w:line="340" w:lineRule="exact"/>
            </w:pPr>
            <w:r>
              <w:rPr>
                <w:rFonts w:hint="eastAsia"/>
              </w:rPr>
              <w:t>不召开</w:t>
            </w:r>
          </w:p>
        </w:tc>
      </w:tr>
      <w:tr w14:paraId="6494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58" w:type="dxa"/>
            <w:noWrap w:val="0"/>
            <w:vAlign w:val="center"/>
          </w:tcPr>
          <w:p w14:paraId="0B65CEB0">
            <w:pPr>
              <w:jc w:val="center"/>
            </w:pPr>
            <w:r>
              <w:rPr>
                <w:rFonts w:hint="eastAsia"/>
              </w:rPr>
              <w:t>2.1.1</w:t>
            </w:r>
          </w:p>
        </w:tc>
        <w:tc>
          <w:tcPr>
            <w:tcW w:w="1660" w:type="dxa"/>
            <w:noWrap w:val="0"/>
            <w:vAlign w:val="center"/>
          </w:tcPr>
          <w:p w14:paraId="2D713AA9">
            <w:pPr>
              <w:spacing w:line="360" w:lineRule="exact"/>
              <w:jc w:val="center"/>
              <w:rPr>
                <w:rFonts w:hint="eastAsia"/>
              </w:rPr>
            </w:pPr>
            <w:r>
              <w:rPr>
                <w:rFonts w:hint="eastAsia"/>
              </w:rPr>
              <w:t>构成招标文件的其他材料</w:t>
            </w:r>
          </w:p>
        </w:tc>
        <w:tc>
          <w:tcPr>
            <w:tcW w:w="7151" w:type="dxa"/>
            <w:gridSpan w:val="2"/>
            <w:noWrap w:val="0"/>
            <w:vAlign w:val="center"/>
          </w:tcPr>
          <w:p w14:paraId="20A28739">
            <w:pPr>
              <w:spacing w:line="340" w:lineRule="exact"/>
              <w:rPr>
                <w:rFonts w:hint="eastAsia"/>
              </w:rPr>
            </w:pPr>
            <w:r>
              <w:rPr>
                <w:rFonts w:hint="eastAsia"/>
              </w:rPr>
              <w:t>招标文件澄清、答疑、补充文件等</w:t>
            </w:r>
          </w:p>
        </w:tc>
      </w:tr>
      <w:tr w14:paraId="2FF5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958" w:type="dxa"/>
            <w:noWrap w:val="0"/>
            <w:vAlign w:val="center"/>
          </w:tcPr>
          <w:p w14:paraId="2316C2EA">
            <w:pPr>
              <w:jc w:val="center"/>
              <w:rPr>
                <w:rFonts w:hint="eastAsia"/>
              </w:rPr>
            </w:pPr>
            <w:r>
              <w:rPr>
                <w:rFonts w:hint="eastAsia"/>
              </w:rPr>
              <w:t>2.1.3</w:t>
            </w:r>
          </w:p>
        </w:tc>
        <w:tc>
          <w:tcPr>
            <w:tcW w:w="1660" w:type="dxa"/>
            <w:noWrap w:val="0"/>
            <w:vAlign w:val="center"/>
          </w:tcPr>
          <w:p w14:paraId="47DCDD64">
            <w:pPr>
              <w:spacing w:line="360" w:lineRule="exact"/>
              <w:jc w:val="center"/>
            </w:pPr>
            <w:r>
              <w:rPr>
                <w:rFonts w:hint="eastAsia"/>
              </w:rPr>
              <w:t>招标文件的发布</w:t>
            </w:r>
          </w:p>
        </w:tc>
        <w:tc>
          <w:tcPr>
            <w:tcW w:w="7151" w:type="dxa"/>
            <w:gridSpan w:val="2"/>
            <w:noWrap w:val="0"/>
            <w:vAlign w:val="center"/>
          </w:tcPr>
          <w:p w14:paraId="4EA9EA83">
            <w:pPr>
              <w:spacing w:line="340" w:lineRule="exact"/>
            </w:pPr>
            <w:r>
              <w:rPr>
                <w:rFonts w:hint="eastAsia"/>
              </w:rPr>
              <w:t>本招标文件在济钢集团有限公司阳光购销平台（网址：</w:t>
            </w:r>
            <w:r>
              <w:rPr>
                <w:rFonts w:hint="eastAsia"/>
              </w:rPr>
              <w:fldChar w:fldCharType="begin"/>
            </w:r>
            <w:r>
              <w:rPr>
                <w:rFonts w:hint="eastAsia"/>
              </w:rP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 上发布。除上述媒介以外的媒介转载或发布与本次招标相关信息的，招标人不承担任何责任并保留追究相关方责任的权利。</w:t>
            </w:r>
          </w:p>
        </w:tc>
      </w:tr>
      <w:tr w14:paraId="17D7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5A338891">
            <w:pPr>
              <w:jc w:val="center"/>
              <w:rPr>
                <w:rFonts w:hint="eastAsia"/>
              </w:rPr>
            </w:pPr>
            <w:r>
              <w:rPr>
                <w:rFonts w:hint="eastAsia"/>
              </w:rPr>
              <w:t>2.2.2</w:t>
            </w:r>
          </w:p>
        </w:tc>
        <w:tc>
          <w:tcPr>
            <w:tcW w:w="1660" w:type="dxa"/>
            <w:noWrap w:val="0"/>
            <w:vAlign w:val="center"/>
          </w:tcPr>
          <w:p w14:paraId="75580A6D">
            <w:pPr>
              <w:spacing w:line="442" w:lineRule="exact"/>
              <w:jc w:val="center"/>
              <w:rPr>
                <w:rFonts w:hint="eastAsia"/>
              </w:rPr>
            </w:pPr>
            <w:r>
              <w:rPr>
                <w:rFonts w:hint="eastAsia"/>
              </w:rPr>
              <w:t>招标</w:t>
            </w:r>
            <w:r>
              <w:t>文件的</w:t>
            </w:r>
            <w:r>
              <w:rPr>
                <w:rFonts w:hint="eastAsia"/>
              </w:rPr>
              <w:t>澄清</w:t>
            </w:r>
          </w:p>
        </w:tc>
        <w:tc>
          <w:tcPr>
            <w:tcW w:w="7151" w:type="dxa"/>
            <w:gridSpan w:val="2"/>
            <w:tcBorders>
              <w:bottom w:val="single" w:color="auto" w:sz="4" w:space="0"/>
            </w:tcBorders>
            <w:noWrap w:val="0"/>
            <w:vAlign w:val="center"/>
          </w:tcPr>
          <w:p w14:paraId="67901223">
            <w:pPr>
              <w:spacing w:line="398" w:lineRule="exact"/>
              <w:rPr>
                <w:rFonts w:hint="eastAsia"/>
                <w:highlight w:val="none"/>
              </w:rPr>
            </w:pPr>
            <w:r>
              <w:rPr>
                <w:rFonts w:hint="eastAsia"/>
                <w:highlight w:val="none"/>
              </w:rPr>
              <w:t>招标</w:t>
            </w:r>
            <w:r>
              <w:rPr>
                <w:highlight w:val="none"/>
              </w:rPr>
              <w:t>文件</w:t>
            </w:r>
            <w:r>
              <w:rPr>
                <w:rFonts w:hint="eastAsia"/>
                <w:highlight w:val="none"/>
              </w:rPr>
              <w:t>澄清的</w:t>
            </w:r>
            <w:r>
              <w:rPr>
                <w:highlight w:val="none"/>
              </w:rPr>
              <w:t>截止时间</w:t>
            </w:r>
            <w:r>
              <w:rPr>
                <w:rFonts w:hint="eastAsia"/>
                <w:highlight w:val="none"/>
              </w:rPr>
              <w:t>为202</w:t>
            </w:r>
            <w:r>
              <w:rPr>
                <w:rFonts w:hint="eastAsia"/>
                <w:highlight w:val="none"/>
                <w:lang w:val="en-US" w:eastAsia="zh-CN"/>
              </w:rPr>
              <w:t>6</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24</w:t>
            </w:r>
            <w:r>
              <w:rPr>
                <w:rFonts w:hint="eastAsia"/>
                <w:highlight w:val="none"/>
              </w:rPr>
              <w:t>日，澄清文件在济钢集团有限公司阳光购销平台（网址：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上发布。</w:t>
            </w:r>
          </w:p>
        </w:tc>
      </w:tr>
      <w:tr w14:paraId="1A55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576AAF6B">
            <w:pPr>
              <w:jc w:val="center"/>
              <w:rPr>
                <w:rFonts w:hint="eastAsia"/>
              </w:rPr>
            </w:pPr>
            <w:r>
              <w:rPr>
                <w:rFonts w:hint="eastAsia"/>
              </w:rPr>
              <w:t>2.3</w:t>
            </w:r>
          </w:p>
        </w:tc>
        <w:tc>
          <w:tcPr>
            <w:tcW w:w="1660" w:type="dxa"/>
            <w:noWrap w:val="0"/>
            <w:vAlign w:val="center"/>
          </w:tcPr>
          <w:p w14:paraId="192FF4DE">
            <w:pPr>
              <w:spacing w:line="360" w:lineRule="exact"/>
              <w:jc w:val="center"/>
              <w:rPr>
                <w:rFonts w:hint="eastAsia"/>
              </w:rPr>
            </w:pPr>
            <w:r>
              <w:rPr>
                <w:rFonts w:hint="eastAsia"/>
              </w:rPr>
              <w:t>招标</w:t>
            </w:r>
            <w:r>
              <w:t>文件</w:t>
            </w:r>
            <w:r>
              <w:rPr>
                <w:rFonts w:hint="eastAsia"/>
              </w:rPr>
              <w:t>的</w:t>
            </w:r>
            <w:r>
              <w:t>修改</w:t>
            </w:r>
          </w:p>
        </w:tc>
        <w:tc>
          <w:tcPr>
            <w:tcW w:w="7151" w:type="dxa"/>
            <w:gridSpan w:val="2"/>
            <w:tcBorders>
              <w:bottom w:val="single" w:color="auto" w:sz="4" w:space="0"/>
            </w:tcBorders>
            <w:noWrap w:val="0"/>
            <w:vAlign w:val="center"/>
          </w:tcPr>
          <w:p w14:paraId="1203EA3B">
            <w:pPr>
              <w:spacing w:line="398" w:lineRule="exact"/>
              <w:rPr>
                <w:rFonts w:hint="eastAsia"/>
                <w:highlight w:val="none"/>
              </w:rPr>
            </w:pPr>
            <w:r>
              <w:rPr>
                <w:rFonts w:hint="eastAsia"/>
                <w:highlight w:val="none"/>
              </w:rPr>
              <w:t>招标文件修改的截止时间为202</w:t>
            </w:r>
            <w:r>
              <w:rPr>
                <w:rFonts w:hint="eastAsia"/>
                <w:highlight w:val="none"/>
                <w:lang w:val="en-US" w:eastAsia="zh-CN"/>
              </w:rPr>
              <w:t>6</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24</w:t>
            </w:r>
            <w:r>
              <w:rPr>
                <w:rFonts w:hint="eastAsia"/>
                <w:highlight w:val="none"/>
              </w:rPr>
              <w:t>日，修改文件在济钢集团有限公司阳光购销平台（网址：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上发布。</w:t>
            </w:r>
          </w:p>
        </w:tc>
      </w:tr>
      <w:tr w14:paraId="7FD3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6D944A73">
            <w:pPr>
              <w:jc w:val="center"/>
            </w:pPr>
            <w:r>
              <w:rPr>
                <w:rFonts w:hint="eastAsia"/>
              </w:rPr>
              <w:t>3.1.1</w:t>
            </w:r>
          </w:p>
        </w:tc>
        <w:tc>
          <w:tcPr>
            <w:tcW w:w="1660" w:type="dxa"/>
            <w:noWrap w:val="0"/>
            <w:vAlign w:val="center"/>
          </w:tcPr>
          <w:p w14:paraId="504B5628">
            <w:pPr>
              <w:spacing w:line="360" w:lineRule="exact"/>
              <w:jc w:val="center"/>
            </w:pPr>
            <w:r>
              <w:rPr>
                <w:rFonts w:hint="eastAsia"/>
              </w:rPr>
              <w:t>投标文件内容</w:t>
            </w:r>
          </w:p>
        </w:tc>
        <w:tc>
          <w:tcPr>
            <w:tcW w:w="7151" w:type="dxa"/>
            <w:gridSpan w:val="2"/>
            <w:tcBorders>
              <w:bottom w:val="single" w:color="auto" w:sz="4" w:space="0"/>
            </w:tcBorders>
            <w:noWrap w:val="0"/>
            <w:vAlign w:val="center"/>
          </w:tcPr>
          <w:p w14:paraId="3D1AAE01">
            <w:pPr>
              <w:spacing w:line="340" w:lineRule="exact"/>
            </w:pPr>
            <w:r>
              <w:rPr>
                <w:rFonts w:hint="eastAsia"/>
              </w:rPr>
              <w:t>招标文件商务、技术部分内容</w:t>
            </w:r>
          </w:p>
        </w:tc>
      </w:tr>
      <w:tr w14:paraId="03C9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shd w:val="clear" w:color="auto" w:fill="auto"/>
            <w:noWrap w:val="0"/>
            <w:vAlign w:val="center"/>
          </w:tcPr>
          <w:p w14:paraId="176C20B7">
            <w:pPr>
              <w:jc w:val="center"/>
            </w:pPr>
            <w:r>
              <w:rPr>
                <w:rFonts w:hint="eastAsia"/>
              </w:rPr>
              <w:t>3.2.1</w:t>
            </w:r>
          </w:p>
        </w:tc>
        <w:tc>
          <w:tcPr>
            <w:tcW w:w="1660" w:type="dxa"/>
            <w:shd w:val="clear" w:color="auto" w:fill="auto"/>
            <w:noWrap w:val="0"/>
            <w:vAlign w:val="center"/>
          </w:tcPr>
          <w:p w14:paraId="219C277E">
            <w:pPr>
              <w:spacing w:line="360" w:lineRule="exact"/>
              <w:jc w:val="center"/>
            </w:pPr>
            <w:r>
              <w:rPr>
                <w:rFonts w:hint="eastAsia"/>
              </w:rPr>
              <w:t>投标报价</w:t>
            </w:r>
          </w:p>
        </w:tc>
        <w:tc>
          <w:tcPr>
            <w:tcW w:w="7151" w:type="dxa"/>
            <w:gridSpan w:val="2"/>
            <w:shd w:val="clear" w:color="auto" w:fill="FFFFFF"/>
            <w:noWrap w:val="0"/>
            <w:vAlign w:val="center"/>
          </w:tcPr>
          <w:p w14:paraId="385C7101">
            <w:pPr>
              <w:spacing w:line="340" w:lineRule="exact"/>
            </w:pPr>
            <w:r>
              <w:rPr>
                <w:rFonts w:hint="eastAsia"/>
              </w:rPr>
              <w:t>1.报价方式：</w:t>
            </w:r>
            <w:r>
              <w:rPr>
                <w:rFonts w:hint="eastAsia"/>
                <w:lang w:val="en-US" w:eastAsia="zh-CN"/>
              </w:rPr>
              <w:t>分项报价、</w:t>
            </w:r>
            <w:r>
              <w:rPr>
                <w:rFonts w:hint="eastAsia"/>
              </w:rPr>
              <w:t xml:space="preserve">投标总价。 </w:t>
            </w:r>
          </w:p>
          <w:p w14:paraId="09A36682">
            <w:pPr>
              <w:spacing w:line="340" w:lineRule="exact"/>
            </w:pPr>
            <w:r>
              <w:rPr>
                <w:rFonts w:hint="eastAsia"/>
              </w:rPr>
              <w:t>2.报价币种：人民币。</w:t>
            </w:r>
          </w:p>
          <w:p w14:paraId="4FBFC5F7">
            <w:pPr>
              <w:spacing w:line="340" w:lineRule="exact"/>
              <w:rPr>
                <w:rFonts w:hint="eastAsia" w:eastAsia="宋体"/>
                <w:lang w:eastAsia="zh-CN"/>
              </w:rPr>
            </w:pPr>
            <w:r>
              <w:rPr>
                <w:rFonts w:hint="eastAsia"/>
              </w:rPr>
              <w:t>3.报价为</w:t>
            </w:r>
            <w:r>
              <w:rPr>
                <w:rFonts w:hint="eastAsia"/>
                <w:lang w:val="en-US" w:eastAsia="zh-CN"/>
              </w:rPr>
              <w:t>含税</w:t>
            </w:r>
            <w:r>
              <w:rPr>
                <w:rFonts w:hint="eastAsia"/>
              </w:rPr>
              <w:t>价格</w:t>
            </w:r>
            <w:r>
              <w:rPr>
                <w:rFonts w:hint="eastAsia"/>
                <w:lang w:eastAsia="zh-CN"/>
              </w:rPr>
              <w:t>。</w:t>
            </w:r>
          </w:p>
        </w:tc>
      </w:tr>
      <w:tr w14:paraId="4CB0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405F3E30">
            <w:pPr>
              <w:jc w:val="center"/>
            </w:pPr>
            <w:r>
              <w:rPr>
                <w:rFonts w:hint="eastAsia"/>
              </w:rPr>
              <w:t>3.2.2</w:t>
            </w:r>
          </w:p>
        </w:tc>
        <w:tc>
          <w:tcPr>
            <w:tcW w:w="1660" w:type="dxa"/>
            <w:noWrap w:val="0"/>
            <w:vAlign w:val="center"/>
          </w:tcPr>
          <w:p w14:paraId="0202007A">
            <w:pPr>
              <w:spacing w:line="360" w:lineRule="exact"/>
              <w:jc w:val="center"/>
              <w:rPr>
                <w:rFonts w:hint="eastAsia"/>
              </w:rPr>
            </w:pPr>
            <w:r>
              <w:rPr>
                <w:rFonts w:hint="eastAsia"/>
              </w:rPr>
              <w:t>投标报价修改</w:t>
            </w:r>
          </w:p>
        </w:tc>
        <w:tc>
          <w:tcPr>
            <w:tcW w:w="7151" w:type="dxa"/>
            <w:gridSpan w:val="2"/>
            <w:noWrap w:val="0"/>
            <w:vAlign w:val="center"/>
          </w:tcPr>
          <w:p w14:paraId="41877D6D">
            <w:pPr>
              <w:spacing w:line="340" w:lineRule="exact"/>
              <w:rPr>
                <w:rFonts w:hint="eastAsia"/>
              </w:rPr>
            </w:pPr>
            <w:r>
              <w:rPr>
                <w:rFonts w:hint="eastAsia"/>
              </w:rPr>
              <w:t>详见招标须知正文3.2.2节内容</w:t>
            </w:r>
          </w:p>
        </w:tc>
      </w:tr>
      <w:tr w14:paraId="47A7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6BBEDC8A">
            <w:pPr>
              <w:jc w:val="center"/>
            </w:pPr>
            <w:r>
              <w:rPr>
                <w:rFonts w:hint="eastAsia"/>
              </w:rPr>
              <w:t>3.3.1</w:t>
            </w:r>
          </w:p>
        </w:tc>
        <w:tc>
          <w:tcPr>
            <w:tcW w:w="1660" w:type="dxa"/>
            <w:noWrap w:val="0"/>
            <w:vAlign w:val="center"/>
          </w:tcPr>
          <w:p w14:paraId="7D89A028">
            <w:pPr>
              <w:spacing w:line="360" w:lineRule="exact"/>
              <w:jc w:val="center"/>
            </w:pPr>
            <w:r>
              <w:rPr>
                <w:rFonts w:hint="eastAsia"/>
              </w:rPr>
              <w:t>招标有效期</w:t>
            </w:r>
          </w:p>
        </w:tc>
        <w:tc>
          <w:tcPr>
            <w:tcW w:w="7151" w:type="dxa"/>
            <w:gridSpan w:val="2"/>
            <w:noWrap w:val="0"/>
            <w:vAlign w:val="center"/>
          </w:tcPr>
          <w:p w14:paraId="59244125">
            <w:pPr>
              <w:spacing w:line="340" w:lineRule="exact"/>
            </w:pPr>
            <w:r>
              <w:rPr>
                <w:rFonts w:hint="eastAsia"/>
              </w:rPr>
              <w:t>90日历天（自</w:t>
            </w:r>
            <w:r>
              <w:t>递交</w:t>
            </w:r>
            <w:r>
              <w:rPr>
                <w:rFonts w:hint="eastAsia"/>
              </w:rPr>
              <w:t>投标</w:t>
            </w:r>
            <w:r>
              <w:t>文件截止</w:t>
            </w:r>
            <w:r>
              <w:rPr>
                <w:rFonts w:hint="eastAsia"/>
              </w:rPr>
              <w:t>之日起）</w:t>
            </w:r>
          </w:p>
        </w:tc>
      </w:tr>
      <w:tr w14:paraId="09D4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70C045F4">
            <w:pPr>
              <w:jc w:val="center"/>
              <w:rPr>
                <w:color w:val="000000"/>
              </w:rPr>
            </w:pPr>
            <w:r>
              <w:rPr>
                <w:rFonts w:hint="eastAsia"/>
                <w:color w:val="000000"/>
              </w:rPr>
              <w:t>3.4</w:t>
            </w:r>
          </w:p>
        </w:tc>
        <w:tc>
          <w:tcPr>
            <w:tcW w:w="1660" w:type="dxa"/>
            <w:noWrap w:val="0"/>
            <w:vAlign w:val="center"/>
          </w:tcPr>
          <w:p w14:paraId="5D3CA424">
            <w:pPr>
              <w:spacing w:line="360" w:lineRule="exact"/>
              <w:jc w:val="center"/>
              <w:rPr>
                <w:color w:val="000000"/>
              </w:rPr>
            </w:pPr>
            <w:r>
              <w:rPr>
                <w:rFonts w:hint="eastAsia"/>
                <w:color w:val="000000"/>
              </w:rPr>
              <w:t>投标保证金</w:t>
            </w:r>
          </w:p>
        </w:tc>
        <w:tc>
          <w:tcPr>
            <w:tcW w:w="7151" w:type="dxa"/>
            <w:gridSpan w:val="2"/>
            <w:noWrap w:val="0"/>
            <w:vAlign w:val="center"/>
          </w:tcPr>
          <w:p w14:paraId="0A499651">
            <w:pPr>
              <w:spacing w:line="340" w:lineRule="exact"/>
              <w:rPr>
                <w:rFonts w:hint="default" w:eastAsia="宋体"/>
                <w:lang w:val="en-US" w:eastAsia="zh-CN"/>
              </w:rPr>
            </w:pPr>
            <w:r>
              <w:rPr>
                <w:rFonts w:hint="eastAsia"/>
                <w:lang w:val="en-US" w:eastAsia="zh-CN"/>
              </w:rPr>
              <w:t>无</w:t>
            </w:r>
          </w:p>
        </w:tc>
      </w:tr>
      <w:tr w14:paraId="2E70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74BE0103">
            <w:pPr>
              <w:jc w:val="center"/>
            </w:pPr>
            <w:r>
              <w:rPr>
                <w:rFonts w:hint="eastAsia"/>
              </w:rPr>
              <w:t>3.5.1</w:t>
            </w:r>
          </w:p>
        </w:tc>
        <w:tc>
          <w:tcPr>
            <w:tcW w:w="1660" w:type="dxa"/>
            <w:noWrap w:val="0"/>
            <w:vAlign w:val="center"/>
          </w:tcPr>
          <w:p w14:paraId="07C1B497">
            <w:pPr>
              <w:spacing w:line="360" w:lineRule="exact"/>
              <w:ind w:left="-120" w:leftChars="-50" w:right="-120" w:rightChars="-50"/>
              <w:jc w:val="center"/>
            </w:pPr>
            <w:r>
              <w:rPr>
                <w:rFonts w:hint="eastAsia"/>
              </w:rPr>
              <w:t>资格审查</w:t>
            </w:r>
          </w:p>
        </w:tc>
        <w:tc>
          <w:tcPr>
            <w:tcW w:w="7151" w:type="dxa"/>
            <w:gridSpan w:val="2"/>
            <w:noWrap w:val="0"/>
            <w:vAlign w:val="center"/>
          </w:tcPr>
          <w:p w14:paraId="5BF0BBF8">
            <w:pPr>
              <w:spacing w:line="340" w:lineRule="exact"/>
              <w:jc w:val="left"/>
            </w:pPr>
            <w:r>
              <w:t>1、</w:t>
            </w:r>
            <w:r>
              <w:rPr>
                <w:rFonts w:hint="eastAsia"/>
                <w:lang w:val="en-US" w:eastAsia="zh-CN"/>
              </w:rPr>
              <w:t>评标委员会对投标人的资格审查文件（电子版）进行评审。评审合格的进入下一阶段评标</w:t>
            </w:r>
            <w:r>
              <w:t>；</w:t>
            </w:r>
            <w:r>
              <w:rPr>
                <w:rFonts w:hint="eastAsia"/>
              </w:rPr>
              <w:t>评标</w:t>
            </w:r>
            <w:r>
              <w:t>不合格的</w:t>
            </w:r>
            <w:r>
              <w:rPr>
                <w:rFonts w:hint="eastAsia"/>
              </w:rPr>
              <w:t>取消其招标资格</w:t>
            </w:r>
            <w:r>
              <w:t>，</w:t>
            </w:r>
            <w:r>
              <w:rPr>
                <w:rFonts w:hint="eastAsia"/>
              </w:rPr>
              <w:t>购买招标文件的费用</w:t>
            </w:r>
            <w:r>
              <w:t>不退。</w:t>
            </w:r>
          </w:p>
          <w:p w14:paraId="638EC205">
            <w:pPr>
              <w:spacing w:line="340" w:lineRule="exact"/>
              <w:ind w:left="-120" w:leftChars="-50" w:right="-120" w:rightChars="-50"/>
              <w:jc w:val="left"/>
            </w:pPr>
            <w:r>
              <w:t>2、</w:t>
            </w:r>
            <w:r>
              <w:rPr>
                <w:rFonts w:hint="eastAsia"/>
                <w:lang w:val="en-US" w:eastAsia="zh-CN"/>
              </w:rPr>
              <w:t>制作资格审查文件（电子版）后</w:t>
            </w:r>
            <w:r>
              <w:rPr>
                <w:rFonts w:hint="eastAsia"/>
                <w:highlight w:val="none"/>
                <w:lang w:val="en-US" w:eastAsia="zh-CN"/>
              </w:rPr>
              <w:t>，在</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26</w:t>
            </w:r>
            <w:r>
              <w:rPr>
                <w:rFonts w:hint="eastAsia"/>
                <w:highlight w:val="none"/>
              </w:rPr>
              <w:t>日</w:t>
            </w:r>
            <w:r>
              <w:rPr>
                <w:rFonts w:hint="eastAsia"/>
                <w:highlight w:val="none"/>
                <w:lang w:val="en-US" w:eastAsia="zh-CN"/>
              </w:rPr>
              <w:t>9</w:t>
            </w:r>
            <w:r>
              <w:rPr>
                <w:rFonts w:hint="eastAsia"/>
                <w:highlight w:val="none"/>
              </w:rPr>
              <w:t>点</w:t>
            </w:r>
            <w:r>
              <w:rPr>
                <w:rFonts w:hint="eastAsia"/>
                <w:highlight w:val="none"/>
                <w:lang w:val="en-US" w:eastAsia="zh-CN"/>
              </w:rPr>
              <w:t>前</w:t>
            </w:r>
            <w:r>
              <w:rPr>
                <w:rFonts w:hint="eastAsia"/>
                <w:highlight w:val="none"/>
                <w:lang w:eastAsia="zh-CN"/>
              </w:rPr>
              <w:t>，</w:t>
            </w:r>
            <w:r>
              <w:rPr>
                <w:rFonts w:hint="eastAsia"/>
                <w:highlight w:val="none"/>
                <w:lang w:val="en-US" w:eastAsia="zh-CN"/>
              </w:rPr>
              <w:t>上传报名网站</w:t>
            </w:r>
          </w:p>
        </w:tc>
      </w:tr>
      <w:tr w14:paraId="021E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307303E6">
            <w:pPr>
              <w:jc w:val="center"/>
              <w:rPr>
                <w:rFonts w:hint="eastAsia"/>
              </w:rPr>
            </w:pPr>
            <w:r>
              <w:rPr>
                <w:rFonts w:hint="eastAsia"/>
              </w:rPr>
              <w:t>3.5.2</w:t>
            </w:r>
          </w:p>
        </w:tc>
        <w:tc>
          <w:tcPr>
            <w:tcW w:w="1660" w:type="dxa"/>
            <w:noWrap w:val="0"/>
            <w:vAlign w:val="center"/>
          </w:tcPr>
          <w:p w14:paraId="79CB1452">
            <w:pPr>
              <w:spacing w:line="360" w:lineRule="exact"/>
              <w:jc w:val="center"/>
            </w:pPr>
            <w:r>
              <w:rPr>
                <w:rFonts w:hint="eastAsia"/>
              </w:rPr>
              <w:t>近3年财务审计报告</w:t>
            </w:r>
          </w:p>
        </w:tc>
        <w:tc>
          <w:tcPr>
            <w:tcW w:w="7151" w:type="dxa"/>
            <w:gridSpan w:val="2"/>
            <w:noWrap w:val="0"/>
            <w:vAlign w:val="center"/>
          </w:tcPr>
          <w:p w14:paraId="36D98154">
            <w:pPr>
              <w:spacing w:line="340" w:lineRule="exact"/>
            </w:pPr>
            <w:r>
              <w:rPr>
                <w:rFonts w:hint="eastAsia"/>
              </w:rPr>
              <w:t>20</w:t>
            </w:r>
            <w:r>
              <w:rPr>
                <w:rFonts w:hint="eastAsia"/>
                <w:lang w:val="en-US" w:eastAsia="zh-CN"/>
              </w:rPr>
              <w:t>23</w:t>
            </w:r>
            <w:r>
              <w:rPr>
                <w:rFonts w:hint="eastAsia"/>
              </w:rPr>
              <w:t>年</w:t>
            </w:r>
            <w:r>
              <w:rPr>
                <w:rFonts w:hint="eastAsia"/>
                <w:lang w:val="en-US" w:eastAsia="zh-CN"/>
              </w:rPr>
              <w:t>6</w:t>
            </w:r>
            <w:r>
              <w:rPr>
                <w:rFonts w:hint="eastAsia"/>
              </w:rPr>
              <w:t>月01日至今。</w:t>
            </w:r>
          </w:p>
        </w:tc>
      </w:tr>
      <w:tr w14:paraId="6D71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4E9670CC">
            <w:pPr>
              <w:jc w:val="center"/>
              <w:rPr>
                <w:rFonts w:hint="eastAsia"/>
              </w:rPr>
            </w:pPr>
            <w:r>
              <w:rPr>
                <w:rFonts w:hint="eastAsia"/>
              </w:rPr>
              <w:t>3.5.3</w:t>
            </w:r>
          </w:p>
        </w:tc>
        <w:tc>
          <w:tcPr>
            <w:tcW w:w="1660" w:type="dxa"/>
            <w:noWrap w:val="0"/>
            <w:vAlign w:val="center"/>
          </w:tcPr>
          <w:p w14:paraId="37A74AF7">
            <w:pPr>
              <w:spacing w:line="360" w:lineRule="exact"/>
              <w:jc w:val="center"/>
            </w:pPr>
            <w:r>
              <w:rPr>
                <w:rFonts w:hint="eastAsia"/>
              </w:rPr>
              <w:t>近3年完成的类似项目</w:t>
            </w:r>
          </w:p>
        </w:tc>
        <w:tc>
          <w:tcPr>
            <w:tcW w:w="7151" w:type="dxa"/>
            <w:gridSpan w:val="2"/>
            <w:noWrap w:val="0"/>
            <w:vAlign w:val="center"/>
          </w:tcPr>
          <w:p w14:paraId="561E2AA4">
            <w:pPr>
              <w:spacing w:line="340" w:lineRule="exact"/>
            </w:pPr>
            <w:r>
              <w:rPr>
                <w:rFonts w:hint="eastAsia"/>
              </w:rPr>
              <w:t>20</w:t>
            </w:r>
            <w:r>
              <w:rPr>
                <w:rFonts w:hint="eastAsia"/>
                <w:lang w:val="en-US" w:eastAsia="zh-CN"/>
              </w:rPr>
              <w:t>23</w:t>
            </w:r>
            <w:r>
              <w:rPr>
                <w:rFonts w:hint="eastAsia"/>
              </w:rPr>
              <w:t>年</w:t>
            </w:r>
            <w:r>
              <w:rPr>
                <w:rFonts w:hint="eastAsia"/>
                <w:lang w:val="en-US" w:eastAsia="zh-CN"/>
              </w:rPr>
              <w:t>6</w:t>
            </w:r>
            <w:r>
              <w:rPr>
                <w:rFonts w:hint="eastAsia"/>
              </w:rPr>
              <w:t>月01日至今。</w:t>
            </w:r>
          </w:p>
        </w:tc>
      </w:tr>
      <w:tr w14:paraId="510D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0CEC25AC">
            <w:pPr>
              <w:jc w:val="center"/>
              <w:rPr>
                <w:rFonts w:hint="eastAsia"/>
              </w:rPr>
            </w:pPr>
            <w:r>
              <w:rPr>
                <w:rFonts w:hint="eastAsia"/>
              </w:rPr>
              <w:t>3.5.4</w:t>
            </w:r>
          </w:p>
        </w:tc>
        <w:tc>
          <w:tcPr>
            <w:tcW w:w="1660" w:type="dxa"/>
            <w:noWrap w:val="0"/>
            <w:vAlign w:val="center"/>
          </w:tcPr>
          <w:p w14:paraId="38D453C7">
            <w:pPr>
              <w:spacing w:line="360" w:lineRule="exact"/>
              <w:jc w:val="center"/>
            </w:pPr>
            <w:r>
              <w:rPr>
                <w:rFonts w:hint="eastAsia"/>
              </w:rPr>
              <w:t>近3年发生的诉讼及仲裁情况的年份要求</w:t>
            </w:r>
          </w:p>
        </w:tc>
        <w:tc>
          <w:tcPr>
            <w:tcW w:w="7151" w:type="dxa"/>
            <w:gridSpan w:val="2"/>
            <w:noWrap w:val="0"/>
            <w:vAlign w:val="center"/>
          </w:tcPr>
          <w:p w14:paraId="23510B65">
            <w:pPr>
              <w:spacing w:line="340" w:lineRule="exact"/>
            </w:pPr>
            <w:r>
              <w:rPr>
                <w:rFonts w:hint="eastAsia"/>
              </w:rPr>
              <w:t>20</w:t>
            </w:r>
            <w:r>
              <w:rPr>
                <w:rFonts w:hint="eastAsia"/>
                <w:lang w:val="en-US" w:eastAsia="zh-CN"/>
              </w:rPr>
              <w:t>23</w:t>
            </w:r>
            <w:r>
              <w:rPr>
                <w:rFonts w:hint="eastAsia"/>
              </w:rPr>
              <w:t>年</w:t>
            </w:r>
            <w:r>
              <w:rPr>
                <w:rFonts w:hint="eastAsia"/>
                <w:lang w:val="en-US" w:eastAsia="zh-CN"/>
              </w:rPr>
              <w:t>6</w:t>
            </w:r>
            <w:r>
              <w:rPr>
                <w:rFonts w:hint="eastAsia"/>
              </w:rPr>
              <w:t>月01日至今。</w:t>
            </w:r>
          </w:p>
        </w:tc>
      </w:tr>
      <w:tr w14:paraId="120C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958" w:type="dxa"/>
            <w:noWrap w:val="0"/>
            <w:vAlign w:val="center"/>
          </w:tcPr>
          <w:p w14:paraId="0FBC92BA">
            <w:pPr>
              <w:jc w:val="center"/>
            </w:pPr>
            <w:r>
              <w:rPr>
                <w:rFonts w:hint="eastAsia"/>
              </w:rPr>
              <w:t>3.7.1</w:t>
            </w:r>
          </w:p>
        </w:tc>
        <w:tc>
          <w:tcPr>
            <w:tcW w:w="1660" w:type="dxa"/>
            <w:noWrap w:val="0"/>
            <w:vAlign w:val="center"/>
          </w:tcPr>
          <w:p w14:paraId="7D7ACA93">
            <w:pPr>
              <w:spacing w:line="360" w:lineRule="exact"/>
              <w:jc w:val="center"/>
            </w:pPr>
            <w:r>
              <w:rPr>
                <w:rFonts w:hint="eastAsia"/>
              </w:rPr>
              <w:t>签字或盖章要求</w:t>
            </w:r>
          </w:p>
        </w:tc>
        <w:tc>
          <w:tcPr>
            <w:tcW w:w="7151" w:type="dxa"/>
            <w:gridSpan w:val="2"/>
            <w:noWrap w:val="0"/>
            <w:vAlign w:val="center"/>
          </w:tcPr>
          <w:p w14:paraId="007568DF">
            <w:pPr>
              <w:spacing w:line="340" w:lineRule="exact"/>
            </w:pPr>
            <w:r>
              <w:rPr>
                <w:rFonts w:hint="eastAsia"/>
              </w:rPr>
              <w:t>投标文件应按第五章“投标文件格式及内容”要求进行签字或盖章，否则其投标文件按照无效处理。</w:t>
            </w:r>
          </w:p>
        </w:tc>
      </w:tr>
      <w:tr w14:paraId="30BDC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8" w:type="dxa"/>
            <w:noWrap w:val="0"/>
            <w:vAlign w:val="center"/>
          </w:tcPr>
          <w:p w14:paraId="2EE70942">
            <w:pPr>
              <w:jc w:val="center"/>
            </w:pPr>
            <w:r>
              <w:rPr>
                <w:rFonts w:hint="eastAsia"/>
              </w:rPr>
              <w:t>3.7.2</w:t>
            </w:r>
          </w:p>
        </w:tc>
        <w:tc>
          <w:tcPr>
            <w:tcW w:w="1660" w:type="dxa"/>
            <w:noWrap w:val="0"/>
            <w:vAlign w:val="center"/>
          </w:tcPr>
          <w:p w14:paraId="23E7EE97">
            <w:pPr>
              <w:spacing w:line="360" w:lineRule="exact"/>
              <w:jc w:val="center"/>
            </w:pPr>
            <w:r>
              <w:rPr>
                <w:rFonts w:hint="eastAsia"/>
                <w:highlight w:val="none"/>
              </w:rPr>
              <w:t>投标文件份数</w:t>
            </w:r>
            <w:r>
              <w:rPr>
                <w:rFonts w:hint="eastAsia"/>
                <w:highlight w:val="none"/>
                <w:lang w:eastAsia="zh-CN"/>
              </w:rPr>
              <w:t>（</w:t>
            </w:r>
            <w:r>
              <w:rPr>
                <w:rFonts w:hint="eastAsia"/>
                <w:highlight w:val="none"/>
                <w:lang w:val="en-US" w:eastAsia="zh-CN"/>
              </w:rPr>
              <w:t>中标单位提供纸质版投标文件）</w:t>
            </w:r>
          </w:p>
        </w:tc>
        <w:tc>
          <w:tcPr>
            <w:tcW w:w="7151" w:type="dxa"/>
            <w:gridSpan w:val="2"/>
            <w:noWrap w:val="0"/>
            <w:vAlign w:val="center"/>
          </w:tcPr>
          <w:p w14:paraId="1D684D41">
            <w:pPr>
              <w:spacing w:line="340" w:lineRule="exact"/>
              <w:rPr>
                <w:b/>
              </w:rPr>
            </w:pPr>
            <w:r>
              <w:rPr>
                <w:rFonts w:hint="eastAsia"/>
              </w:rPr>
              <w:t>中标人提供</w:t>
            </w:r>
            <w:r>
              <w:rPr>
                <w:rFonts w:hint="eastAsia"/>
                <w:lang w:val="en-US" w:eastAsia="zh-CN"/>
              </w:rPr>
              <w:t>纸质投标文件</w:t>
            </w:r>
            <w:r>
              <w:rPr>
                <w:rFonts w:hint="eastAsia"/>
              </w:rPr>
              <w:t>正本</w:t>
            </w:r>
            <w:r>
              <w:rPr>
                <w:rFonts w:hint="eastAsia"/>
                <w:lang w:eastAsia="zh-CN"/>
              </w:rPr>
              <w:t>、</w:t>
            </w:r>
            <w:r>
              <w:rPr>
                <w:rFonts w:hint="eastAsia"/>
              </w:rPr>
              <w:t>副本</w:t>
            </w:r>
            <w:r>
              <w:rPr>
                <w:rFonts w:hint="eastAsia"/>
                <w:lang w:val="en-US" w:eastAsia="zh-CN"/>
              </w:rPr>
              <w:t>各一</w:t>
            </w:r>
            <w:r>
              <w:rPr>
                <w:rFonts w:hint="eastAsia"/>
              </w:rPr>
              <w:t>份。</w:t>
            </w:r>
          </w:p>
        </w:tc>
      </w:tr>
      <w:tr w14:paraId="77B7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958" w:type="dxa"/>
            <w:noWrap w:val="0"/>
            <w:vAlign w:val="center"/>
          </w:tcPr>
          <w:p w14:paraId="0FA8A3EC">
            <w:pPr>
              <w:jc w:val="center"/>
            </w:pPr>
            <w:r>
              <w:rPr>
                <w:rFonts w:hint="eastAsia"/>
              </w:rPr>
              <w:t>3.7.3</w:t>
            </w:r>
          </w:p>
        </w:tc>
        <w:tc>
          <w:tcPr>
            <w:tcW w:w="1660" w:type="dxa"/>
            <w:noWrap w:val="0"/>
            <w:vAlign w:val="center"/>
          </w:tcPr>
          <w:p w14:paraId="35ED27E8">
            <w:pPr>
              <w:spacing w:line="360" w:lineRule="exact"/>
              <w:ind w:left="120" w:leftChars="-50" w:right="-120" w:rightChars="-50" w:hanging="240" w:hangingChars="100"/>
              <w:jc w:val="center"/>
            </w:pPr>
            <w:r>
              <w:rPr>
                <w:rFonts w:hint="eastAsia"/>
                <w:highlight w:val="none"/>
              </w:rPr>
              <w:t>纸质投标文件装订要求</w:t>
            </w:r>
            <w:r>
              <w:rPr>
                <w:rFonts w:hint="eastAsia"/>
                <w:highlight w:val="none"/>
                <w:lang w:eastAsia="zh-CN"/>
              </w:rPr>
              <w:t>（</w:t>
            </w:r>
            <w:r>
              <w:rPr>
                <w:rFonts w:hint="eastAsia"/>
                <w:highlight w:val="none"/>
                <w:lang w:val="en-US" w:eastAsia="zh-CN"/>
              </w:rPr>
              <w:t>中标单位提供纸质版投标文件）</w:t>
            </w:r>
          </w:p>
        </w:tc>
        <w:tc>
          <w:tcPr>
            <w:tcW w:w="7151" w:type="dxa"/>
            <w:gridSpan w:val="2"/>
            <w:noWrap w:val="0"/>
            <w:vAlign w:val="center"/>
          </w:tcPr>
          <w:p w14:paraId="56317546">
            <w:pPr>
              <w:spacing w:line="340" w:lineRule="exact"/>
              <w:jc w:val="left"/>
              <w:rPr>
                <w:highlight w:val="none"/>
              </w:rPr>
            </w:pPr>
            <w:r>
              <w:rPr>
                <w:rFonts w:hint="eastAsia"/>
                <w:highlight w:val="none"/>
              </w:rPr>
              <w:t>1、投标文件的正本与副本应分别装订成册。</w:t>
            </w:r>
          </w:p>
          <w:p w14:paraId="7A5A65D9">
            <w:pPr>
              <w:spacing w:line="340" w:lineRule="exact"/>
              <w:jc w:val="left"/>
              <w:rPr>
                <w:highlight w:val="none"/>
              </w:rPr>
            </w:pPr>
            <w:r>
              <w:rPr>
                <w:rFonts w:hint="eastAsia"/>
                <w:highlight w:val="none"/>
              </w:rPr>
              <w:t>2、投标文件每册均须采用胶装方式在左侧装订，装订须牢固不易拆散和换页，不得采用活页方式装订。</w:t>
            </w:r>
          </w:p>
          <w:p w14:paraId="5C76D56E">
            <w:pPr>
              <w:spacing w:line="340" w:lineRule="exact"/>
              <w:rPr>
                <w:rFonts w:hint="eastAsia"/>
                <w:highlight w:val="none"/>
              </w:rPr>
            </w:pPr>
            <w:r>
              <w:rPr>
                <w:rFonts w:hint="eastAsia"/>
                <w:highlight w:val="none"/>
              </w:rPr>
              <w:t>3、投标文件正本和副本的封面上应清楚地标记“正本”或“副本”的字样；正本和副本如有不一致之处，以正本为准。</w:t>
            </w:r>
          </w:p>
          <w:p w14:paraId="69F5448B">
            <w:pPr>
              <w:pStyle w:val="45"/>
              <w:ind w:left="0" w:leftChars="0" w:right="-120" w:rightChars="-50" w:firstLine="0" w:firstLineChars="0"/>
              <w:rPr>
                <w:rFonts w:hint="default"/>
                <w:lang w:val="en-US"/>
              </w:rPr>
            </w:pPr>
            <w:r>
              <w:rPr>
                <w:rFonts w:hint="eastAsia"/>
                <w:bCs/>
                <w:highlight w:val="none"/>
                <w:lang w:val="en-US" w:eastAsia="zh-CN"/>
              </w:rPr>
              <w:t>4、投标单位</w:t>
            </w:r>
            <w:r>
              <w:rPr>
                <w:rFonts w:hint="eastAsia"/>
                <w:highlight w:val="none"/>
                <w:lang w:val="en-US" w:eastAsia="zh-CN"/>
              </w:rPr>
              <w:t>收到中标通知书后3日内，</w:t>
            </w:r>
            <w:r>
              <w:rPr>
                <w:rFonts w:hint="eastAsia"/>
                <w:bCs/>
                <w:highlight w:val="none"/>
                <w:lang w:val="en-US" w:eastAsia="zh-CN"/>
              </w:rPr>
              <w:t>需将</w:t>
            </w:r>
            <w:r>
              <w:rPr>
                <w:rFonts w:hint="eastAsia"/>
                <w:highlight w:val="none"/>
              </w:rPr>
              <w:t>纸质投标文件</w:t>
            </w:r>
            <w:r>
              <w:rPr>
                <w:rFonts w:hint="eastAsia"/>
                <w:highlight w:val="none"/>
                <w:lang w:val="en-US" w:eastAsia="zh-CN"/>
              </w:rPr>
              <w:t>邮寄到山东省济南市官庄街道青野村东，山东济钢环保新材料有限公司，收件人：于工，收件人手机号：17860611790</w:t>
            </w:r>
          </w:p>
        </w:tc>
      </w:tr>
      <w:tr w14:paraId="4ACA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56FA0949">
            <w:pPr>
              <w:jc w:val="center"/>
            </w:pPr>
            <w:r>
              <w:rPr>
                <w:rFonts w:hint="eastAsia"/>
              </w:rPr>
              <w:t>3.7.4</w:t>
            </w:r>
          </w:p>
        </w:tc>
        <w:tc>
          <w:tcPr>
            <w:tcW w:w="1660" w:type="dxa"/>
            <w:noWrap w:val="0"/>
            <w:vAlign w:val="center"/>
          </w:tcPr>
          <w:p w14:paraId="0D3FA70D">
            <w:pPr>
              <w:spacing w:line="360" w:lineRule="exact"/>
              <w:ind w:left="240" w:hanging="240" w:hangingChars="100"/>
              <w:jc w:val="center"/>
            </w:pPr>
            <w:r>
              <w:rPr>
                <w:rFonts w:hint="eastAsia"/>
              </w:rPr>
              <w:t>电子文档</w:t>
            </w:r>
          </w:p>
        </w:tc>
        <w:tc>
          <w:tcPr>
            <w:tcW w:w="7151" w:type="dxa"/>
            <w:gridSpan w:val="2"/>
            <w:noWrap w:val="0"/>
            <w:vAlign w:val="center"/>
          </w:tcPr>
          <w:p w14:paraId="1D094D8B">
            <w:pPr>
              <w:spacing w:line="340" w:lineRule="exact"/>
              <w:rPr>
                <w:bCs/>
              </w:rPr>
            </w:pPr>
            <w:r>
              <w:rPr>
                <w:rFonts w:hint="eastAsia"/>
                <w:bCs/>
              </w:rPr>
              <w:t>详见招标须知正文3.7.6条款</w:t>
            </w:r>
          </w:p>
        </w:tc>
      </w:tr>
      <w:tr w14:paraId="16EA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56CA3EE0">
            <w:pPr>
              <w:spacing w:line="442" w:lineRule="exact"/>
              <w:jc w:val="center"/>
              <w:rPr>
                <w:rFonts w:ascii="仿宋" w:hAnsi="仿宋" w:eastAsia="仿宋" w:cs="MingLiU"/>
              </w:rPr>
            </w:pPr>
            <w:r>
              <w:rPr>
                <w:rFonts w:ascii="仿宋" w:hAnsi="仿宋" w:eastAsia="仿宋" w:cs="MingLiU"/>
              </w:rPr>
              <w:t>4.2.1</w:t>
            </w:r>
          </w:p>
        </w:tc>
        <w:tc>
          <w:tcPr>
            <w:tcW w:w="1660" w:type="dxa"/>
            <w:noWrap w:val="0"/>
            <w:vAlign w:val="center"/>
          </w:tcPr>
          <w:p w14:paraId="04641D12">
            <w:pPr>
              <w:spacing w:line="360" w:lineRule="exact"/>
              <w:ind w:left="240" w:hanging="240" w:hangingChars="100"/>
            </w:pPr>
            <w:r>
              <w:t>递交</w:t>
            </w:r>
            <w:r>
              <w:rPr>
                <w:rFonts w:hint="eastAsia"/>
              </w:rPr>
              <w:t>投标</w:t>
            </w:r>
            <w:r>
              <w:t>文件截止时间</w:t>
            </w:r>
          </w:p>
        </w:tc>
        <w:tc>
          <w:tcPr>
            <w:tcW w:w="7151" w:type="dxa"/>
            <w:gridSpan w:val="2"/>
            <w:noWrap w:val="0"/>
            <w:vAlign w:val="center"/>
          </w:tcPr>
          <w:p w14:paraId="1F659BE6">
            <w:pPr>
              <w:spacing w:line="360" w:lineRule="exact"/>
              <w:ind w:left="240" w:hanging="240" w:hangingChars="100"/>
              <w:rPr>
                <w:highlight w:val="none"/>
              </w:rPr>
            </w:pP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26</w:t>
            </w:r>
            <w:r>
              <w:rPr>
                <w:rFonts w:hint="eastAsia"/>
                <w:highlight w:val="none"/>
              </w:rPr>
              <w:t>日</w:t>
            </w:r>
            <w:r>
              <w:rPr>
                <w:rFonts w:hint="eastAsia"/>
                <w:highlight w:val="none"/>
                <w:lang w:val="en-US" w:eastAsia="zh-CN"/>
              </w:rPr>
              <w:t>9</w:t>
            </w:r>
            <w:r>
              <w:rPr>
                <w:rFonts w:hint="eastAsia"/>
                <w:color w:val="000000"/>
                <w:highlight w:val="none"/>
              </w:rPr>
              <w:t>时00分</w:t>
            </w:r>
          </w:p>
        </w:tc>
      </w:tr>
      <w:tr w14:paraId="4DE5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5025F14C">
            <w:pPr>
              <w:spacing w:line="442" w:lineRule="exact"/>
              <w:jc w:val="center"/>
              <w:rPr>
                <w:rFonts w:ascii="仿宋" w:hAnsi="仿宋" w:eastAsia="仿宋" w:cs="MingLiU"/>
              </w:rPr>
            </w:pPr>
            <w:r>
              <w:rPr>
                <w:rFonts w:ascii="仿宋" w:hAnsi="仿宋" w:eastAsia="仿宋" w:cs="MingLiU"/>
              </w:rPr>
              <w:t xml:space="preserve">4.2.2 </w:t>
            </w:r>
          </w:p>
        </w:tc>
        <w:tc>
          <w:tcPr>
            <w:tcW w:w="1660" w:type="dxa"/>
            <w:noWrap w:val="0"/>
            <w:vAlign w:val="center"/>
          </w:tcPr>
          <w:p w14:paraId="4081CFFA">
            <w:pPr>
              <w:spacing w:line="360" w:lineRule="exact"/>
              <w:ind w:left="240" w:hanging="240" w:hangingChars="100"/>
              <w:jc w:val="center"/>
            </w:pPr>
            <w:r>
              <w:t>递交</w:t>
            </w:r>
            <w:r>
              <w:rPr>
                <w:rFonts w:hint="eastAsia"/>
              </w:rPr>
              <w:t>投标</w:t>
            </w:r>
            <w:r>
              <w:t>文件地点</w:t>
            </w:r>
          </w:p>
        </w:tc>
        <w:tc>
          <w:tcPr>
            <w:tcW w:w="7151" w:type="dxa"/>
            <w:gridSpan w:val="2"/>
            <w:noWrap w:val="0"/>
            <w:vAlign w:val="center"/>
          </w:tcPr>
          <w:p w14:paraId="2D1EF3E4">
            <w:pPr>
              <w:spacing w:line="360" w:lineRule="exact"/>
              <w:ind w:left="240" w:hanging="240" w:hangingChars="100"/>
            </w:pPr>
            <w:r>
              <w:rPr>
                <w:rFonts w:hint="eastAsia"/>
                <w:highlight w:val="none"/>
              </w:rPr>
              <w:t>上传至济钢集团有限公司阳光购销平台（网址：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w:t>
            </w:r>
          </w:p>
        </w:tc>
      </w:tr>
      <w:tr w14:paraId="6BF5D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1400D57A">
            <w:pPr>
              <w:jc w:val="center"/>
              <w:rPr>
                <w:color w:val="000000"/>
              </w:rPr>
            </w:pPr>
            <w:r>
              <w:rPr>
                <w:rFonts w:hint="eastAsia"/>
                <w:color w:val="000000"/>
              </w:rPr>
              <w:t>4.2.3</w:t>
            </w:r>
          </w:p>
        </w:tc>
        <w:tc>
          <w:tcPr>
            <w:tcW w:w="1660" w:type="dxa"/>
            <w:noWrap w:val="0"/>
            <w:vAlign w:val="center"/>
          </w:tcPr>
          <w:p w14:paraId="48D08FA9">
            <w:pPr>
              <w:spacing w:line="360" w:lineRule="exact"/>
              <w:ind w:left="240" w:hanging="240" w:hangingChars="100"/>
              <w:jc w:val="center"/>
            </w:pPr>
            <w:r>
              <w:rPr>
                <w:rFonts w:hint="eastAsia"/>
              </w:rPr>
              <w:t>投标</w:t>
            </w:r>
            <w:r>
              <w:t>文件是否退还</w:t>
            </w:r>
          </w:p>
        </w:tc>
        <w:tc>
          <w:tcPr>
            <w:tcW w:w="7151" w:type="dxa"/>
            <w:gridSpan w:val="2"/>
            <w:noWrap w:val="0"/>
            <w:vAlign w:val="center"/>
          </w:tcPr>
          <w:p w14:paraId="0A469838">
            <w:pPr>
              <w:spacing w:line="340" w:lineRule="exact"/>
              <w:ind w:left="240" w:hanging="240" w:hangingChars="100"/>
            </w:pPr>
            <w:r>
              <w:rPr>
                <w:rFonts w:hint="eastAsia"/>
              </w:rPr>
              <w:t>否</w:t>
            </w:r>
          </w:p>
        </w:tc>
      </w:tr>
      <w:tr w14:paraId="0647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35189506">
            <w:pPr>
              <w:jc w:val="center"/>
              <w:rPr>
                <w:color w:val="000000"/>
              </w:rPr>
            </w:pPr>
            <w:r>
              <w:rPr>
                <w:rFonts w:hint="eastAsia"/>
                <w:color w:val="000000"/>
              </w:rPr>
              <w:t>5.1.1</w:t>
            </w:r>
          </w:p>
        </w:tc>
        <w:tc>
          <w:tcPr>
            <w:tcW w:w="1660" w:type="dxa"/>
            <w:noWrap w:val="0"/>
            <w:vAlign w:val="center"/>
          </w:tcPr>
          <w:p w14:paraId="745F2627">
            <w:pPr>
              <w:spacing w:line="360" w:lineRule="exact"/>
              <w:jc w:val="center"/>
              <w:rPr>
                <w:rFonts w:hint="eastAsia"/>
                <w:color w:val="000000"/>
              </w:rPr>
            </w:pPr>
            <w:r>
              <w:rPr>
                <w:rFonts w:hint="eastAsia"/>
                <w:color w:val="000000"/>
              </w:rPr>
              <w:t>开标时间和</w:t>
            </w:r>
          </w:p>
          <w:p w14:paraId="0F374084">
            <w:pPr>
              <w:spacing w:line="360" w:lineRule="exact"/>
              <w:jc w:val="center"/>
              <w:rPr>
                <w:rFonts w:hint="eastAsia"/>
                <w:color w:val="000000"/>
              </w:rPr>
            </w:pPr>
            <w:r>
              <w:rPr>
                <w:rFonts w:hint="eastAsia"/>
                <w:color w:val="000000"/>
              </w:rPr>
              <w:t>方式</w:t>
            </w:r>
          </w:p>
        </w:tc>
        <w:tc>
          <w:tcPr>
            <w:tcW w:w="7151" w:type="dxa"/>
            <w:gridSpan w:val="2"/>
            <w:noWrap w:val="0"/>
            <w:vAlign w:val="center"/>
          </w:tcPr>
          <w:p w14:paraId="610385B2">
            <w:pPr>
              <w:spacing w:line="340" w:lineRule="exact"/>
              <w:rPr>
                <w:color w:val="000000"/>
                <w:highlight w:val="none"/>
              </w:rPr>
            </w:pPr>
            <w:r>
              <w:rPr>
                <w:rFonts w:hint="eastAsia"/>
                <w:color w:val="000000"/>
                <w:highlight w:val="none"/>
              </w:rPr>
              <w:t>开标时间：</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26</w:t>
            </w:r>
            <w:r>
              <w:rPr>
                <w:rFonts w:hint="eastAsia"/>
                <w:highlight w:val="none"/>
              </w:rPr>
              <w:t>日</w:t>
            </w:r>
            <w:r>
              <w:rPr>
                <w:rFonts w:hint="eastAsia"/>
                <w:color w:val="000000"/>
                <w:highlight w:val="none"/>
              </w:rPr>
              <w:t>9时00分</w:t>
            </w:r>
          </w:p>
          <w:p w14:paraId="12616CB0">
            <w:pPr>
              <w:spacing w:line="340" w:lineRule="exact"/>
              <w:rPr>
                <w:rFonts w:hint="default" w:eastAsia="宋体"/>
                <w:color w:val="000000"/>
                <w:highlight w:val="none"/>
                <w:lang w:val="en-US" w:eastAsia="zh-CN"/>
              </w:rPr>
            </w:pPr>
            <w:r>
              <w:rPr>
                <w:rFonts w:hint="eastAsia"/>
                <w:color w:val="000000"/>
                <w:highlight w:val="none"/>
              </w:rPr>
              <w:t>开标方式：</w:t>
            </w:r>
            <w:r>
              <w:rPr>
                <w:rFonts w:hint="eastAsia"/>
                <w:color w:val="000000"/>
                <w:highlight w:val="none"/>
                <w:lang w:val="en-US" w:eastAsia="zh-CN"/>
              </w:rPr>
              <w:t>网上开标</w:t>
            </w:r>
          </w:p>
        </w:tc>
      </w:tr>
      <w:tr w14:paraId="1AD3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6065DA77">
            <w:pPr>
              <w:jc w:val="center"/>
            </w:pPr>
            <w:r>
              <w:rPr>
                <w:rFonts w:hint="eastAsia"/>
              </w:rPr>
              <w:t>6.3</w:t>
            </w:r>
          </w:p>
        </w:tc>
        <w:tc>
          <w:tcPr>
            <w:tcW w:w="1660" w:type="dxa"/>
            <w:noWrap w:val="0"/>
            <w:vAlign w:val="center"/>
          </w:tcPr>
          <w:p w14:paraId="35248951">
            <w:pPr>
              <w:spacing w:line="360" w:lineRule="exact"/>
              <w:jc w:val="center"/>
            </w:pPr>
            <w:r>
              <w:rPr>
                <w:rFonts w:hint="eastAsia"/>
              </w:rPr>
              <w:t>评标方法</w:t>
            </w:r>
          </w:p>
        </w:tc>
        <w:tc>
          <w:tcPr>
            <w:tcW w:w="7151" w:type="dxa"/>
            <w:gridSpan w:val="2"/>
            <w:noWrap w:val="0"/>
            <w:vAlign w:val="center"/>
          </w:tcPr>
          <w:p w14:paraId="00EE1773">
            <w:pPr>
              <w:spacing w:line="340" w:lineRule="exact"/>
              <w:rPr>
                <w:bCs/>
              </w:rPr>
            </w:pPr>
            <w:r>
              <w:rPr>
                <w:rFonts w:hint="eastAsia"/>
                <w:bCs/>
              </w:rPr>
              <w:t>综合评标法</w:t>
            </w:r>
          </w:p>
        </w:tc>
      </w:tr>
      <w:tr w14:paraId="24C2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8" w:type="dxa"/>
            <w:noWrap w:val="0"/>
            <w:vAlign w:val="center"/>
          </w:tcPr>
          <w:p w14:paraId="560D6A77">
            <w:pPr>
              <w:jc w:val="center"/>
              <w:rPr>
                <w:rFonts w:hint="eastAsia"/>
              </w:rPr>
            </w:pPr>
            <w:r>
              <w:rPr>
                <w:rFonts w:hint="eastAsia"/>
              </w:rPr>
              <w:t>7.5</w:t>
            </w:r>
          </w:p>
        </w:tc>
        <w:tc>
          <w:tcPr>
            <w:tcW w:w="1660" w:type="dxa"/>
            <w:noWrap w:val="0"/>
            <w:vAlign w:val="center"/>
          </w:tcPr>
          <w:p w14:paraId="3F477FA0">
            <w:pPr>
              <w:spacing w:line="360" w:lineRule="exact"/>
              <w:jc w:val="center"/>
            </w:pPr>
            <w:r>
              <w:rPr>
                <w:rFonts w:hint="eastAsia"/>
              </w:rPr>
              <w:t>履约</w:t>
            </w:r>
            <w:r>
              <w:rPr>
                <w:rFonts w:hint="eastAsia"/>
                <w:bCs/>
              </w:rPr>
              <w:t>保证金</w:t>
            </w:r>
          </w:p>
        </w:tc>
        <w:tc>
          <w:tcPr>
            <w:tcW w:w="7151" w:type="dxa"/>
            <w:gridSpan w:val="2"/>
            <w:noWrap w:val="0"/>
            <w:vAlign w:val="center"/>
          </w:tcPr>
          <w:p w14:paraId="4650E7EC">
            <w:pPr>
              <w:spacing w:line="340" w:lineRule="exact"/>
              <w:rPr>
                <w:rFonts w:hint="eastAsia" w:eastAsia="宋体"/>
                <w:color w:val="FF0000"/>
                <w:lang w:eastAsia="zh-CN"/>
              </w:rPr>
            </w:pPr>
            <w:r>
              <w:rPr>
                <w:rFonts w:hint="eastAsia"/>
                <w:bCs/>
                <w:highlight w:val="none"/>
                <w:lang w:val="en-US" w:eastAsia="zh-CN"/>
              </w:rPr>
              <w:t>无</w:t>
            </w:r>
          </w:p>
        </w:tc>
      </w:tr>
      <w:tr w14:paraId="5B3D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483" w:hRule="atLeast"/>
          <w:jc w:val="center"/>
        </w:trPr>
        <w:tc>
          <w:tcPr>
            <w:tcW w:w="958" w:type="dxa"/>
            <w:noWrap w:val="0"/>
            <w:vAlign w:val="center"/>
          </w:tcPr>
          <w:p w14:paraId="614BF945">
            <w:pPr>
              <w:jc w:val="center"/>
            </w:pPr>
            <w:r>
              <w:rPr>
                <w:rFonts w:hint="eastAsia"/>
              </w:rPr>
              <w:t>8.1</w:t>
            </w:r>
          </w:p>
        </w:tc>
        <w:tc>
          <w:tcPr>
            <w:tcW w:w="1660" w:type="dxa"/>
            <w:noWrap w:val="0"/>
            <w:vAlign w:val="center"/>
          </w:tcPr>
          <w:p w14:paraId="2D147EF7">
            <w:pPr>
              <w:spacing w:line="360" w:lineRule="exact"/>
              <w:jc w:val="center"/>
              <w:rPr>
                <w:rFonts w:hint="eastAsia"/>
              </w:rPr>
            </w:pPr>
            <w:r>
              <w:rPr>
                <w:rFonts w:hint="eastAsia"/>
              </w:rPr>
              <w:t>重新招标</w:t>
            </w:r>
          </w:p>
        </w:tc>
        <w:tc>
          <w:tcPr>
            <w:tcW w:w="7138" w:type="dxa"/>
            <w:noWrap w:val="0"/>
            <w:vAlign w:val="center"/>
          </w:tcPr>
          <w:p w14:paraId="46ADFA5B">
            <w:pPr>
              <w:spacing w:line="340" w:lineRule="exact"/>
              <w:rPr>
                <w:rFonts w:hint="eastAsia" w:cs="仿宋"/>
              </w:rPr>
            </w:pPr>
            <w:r>
              <w:rPr>
                <w:rFonts w:hint="eastAsia" w:cs="仿宋"/>
              </w:rPr>
              <w:t>有下列情形之一的，招标人将重新招标</w:t>
            </w:r>
          </w:p>
          <w:p w14:paraId="4C0932F7">
            <w:pPr>
              <w:spacing w:line="340" w:lineRule="exact"/>
              <w:rPr>
                <w:rFonts w:hint="eastAsia" w:cs="仿宋"/>
              </w:rPr>
            </w:pPr>
            <w:r>
              <w:rPr>
                <w:rFonts w:hint="eastAsia" w:cs="仿宋"/>
              </w:rPr>
              <w:t>1.截至到</w:t>
            </w:r>
            <w:r>
              <w:rPr>
                <w:rFonts w:hint="eastAsia"/>
              </w:rPr>
              <w:t>招标开始时间</w:t>
            </w:r>
            <w:r>
              <w:rPr>
                <w:rFonts w:hint="eastAsia" w:cs="仿宋"/>
              </w:rPr>
              <w:t>，提交投标文件的投标人少于3个的；</w:t>
            </w:r>
          </w:p>
          <w:p w14:paraId="091A7778">
            <w:pPr>
              <w:spacing w:line="340" w:lineRule="exact"/>
              <w:rPr>
                <w:rFonts w:cs="仿宋"/>
              </w:rPr>
            </w:pPr>
            <w:r>
              <w:rPr>
                <w:rFonts w:hint="eastAsia" w:cs="仿宋"/>
              </w:rPr>
              <w:t>2.经评审委员会评审，否决部分投标人的投标文件后少于3个，缺乏竞争性的；</w:t>
            </w:r>
          </w:p>
          <w:p w14:paraId="4AA264F4">
            <w:pPr>
              <w:spacing w:line="340" w:lineRule="exact"/>
            </w:pPr>
            <w:r>
              <w:rPr>
                <w:rFonts w:hint="eastAsia" w:cs="仿宋"/>
              </w:rPr>
              <w:t>3.经评标委员会评标否决所有投标文件的。</w:t>
            </w:r>
          </w:p>
        </w:tc>
      </w:tr>
      <w:tr w14:paraId="561F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noWrap w:val="0"/>
            <w:vAlign w:val="center"/>
          </w:tcPr>
          <w:p w14:paraId="54041C02">
            <w:pPr>
              <w:jc w:val="center"/>
            </w:pPr>
            <w:r>
              <w:rPr>
                <w:rFonts w:hint="eastAsia"/>
              </w:rPr>
              <w:t>10.1</w:t>
            </w:r>
          </w:p>
        </w:tc>
        <w:tc>
          <w:tcPr>
            <w:tcW w:w="8811" w:type="dxa"/>
            <w:gridSpan w:val="3"/>
            <w:noWrap w:val="0"/>
            <w:vAlign w:val="center"/>
          </w:tcPr>
          <w:p w14:paraId="35BF92DF">
            <w:pPr>
              <w:spacing w:line="340" w:lineRule="exact"/>
              <w:rPr>
                <w:bCs/>
              </w:rPr>
            </w:pPr>
            <w:r>
              <w:rPr>
                <w:rFonts w:hint="eastAsia"/>
                <w:bCs/>
              </w:rPr>
              <w:t>在任何评标环节中，需评标委员会就某项定性的评标结论做出表决的，由评标委员会全体成员按照少数服从多数的原则，以记名投票方式表决。</w:t>
            </w:r>
          </w:p>
        </w:tc>
      </w:tr>
      <w:tr w14:paraId="3C0D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noWrap w:val="0"/>
            <w:vAlign w:val="center"/>
          </w:tcPr>
          <w:p w14:paraId="360FAA0B">
            <w:pPr>
              <w:jc w:val="center"/>
            </w:pPr>
            <w:r>
              <w:rPr>
                <w:rFonts w:hint="eastAsia"/>
              </w:rPr>
              <w:t>10.2</w:t>
            </w:r>
          </w:p>
        </w:tc>
        <w:tc>
          <w:tcPr>
            <w:tcW w:w="8811" w:type="dxa"/>
            <w:gridSpan w:val="3"/>
            <w:noWrap w:val="0"/>
            <w:vAlign w:val="center"/>
          </w:tcPr>
          <w:p w14:paraId="7FE6CAA9">
            <w:pPr>
              <w:spacing w:line="340" w:lineRule="exact"/>
            </w:pPr>
            <w:r>
              <w:rPr>
                <w:rFonts w:hint="eastAsia"/>
              </w:rPr>
              <w:t>投标人认为招标文件中有限制、排斥投标人情形的，应当在招标开始时间2日前向招标人书面提出，未在规定时间内提出异议的，视为对招标文件无异议。</w:t>
            </w:r>
          </w:p>
        </w:tc>
      </w:tr>
    </w:tbl>
    <w:p w14:paraId="7491CE21"/>
    <w:p w14:paraId="66160EF7">
      <w:pPr>
        <w:pStyle w:val="45"/>
        <w:ind w:left="480" w:firstLine="480"/>
      </w:pPr>
    </w:p>
    <w:p w14:paraId="0C3D3D85">
      <w:pPr>
        <w:pStyle w:val="57"/>
        <w:spacing w:before="156"/>
        <w:rPr>
          <w:rStyle w:val="96"/>
          <w:b/>
          <w:bCs w:val="0"/>
        </w:rPr>
      </w:pPr>
      <w:bookmarkStart w:id="22" w:name="_Toc312072226"/>
      <w:bookmarkStart w:id="23" w:name="_Toc269310918"/>
      <w:bookmarkStart w:id="24" w:name="_Toc446434287"/>
      <w:r>
        <w:rPr>
          <w:rFonts w:hint="eastAsia"/>
          <w:sz w:val="32"/>
          <w:szCs w:val="32"/>
        </w:rPr>
        <w:br w:type="page"/>
      </w:r>
      <w:r>
        <w:rPr>
          <w:rFonts w:hint="eastAsia"/>
          <w:sz w:val="32"/>
          <w:szCs w:val="32"/>
        </w:rPr>
        <w:t>招标须知</w:t>
      </w:r>
      <w:bookmarkEnd w:id="22"/>
      <w:bookmarkEnd w:id="23"/>
      <w:r>
        <w:rPr>
          <w:rFonts w:hint="eastAsia"/>
          <w:sz w:val="32"/>
          <w:szCs w:val="32"/>
        </w:rPr>
        <w:t>正文部分</w:t>
      </w:r>
      <w:bookmarkEnd w:id="24"/>
    </w:p>
    <w:p w14:paraId="1FD0B02A">
      <w:pPr>
        <w:pStyle w:val="64"/>
        <w:rPr>
          <w:rStyle w:val="96"/>
          <w:b/>
          <w:bCs/>
        </w:rPr>
      </w:pPr>
      <w:bookmarkStart w:id="25" w:name="_Toc507936013"/>
      <w:bookmarkStart w:id="26" w:name="_Toc506105818"/>
      <w:r>
        <w:rPr>
          <w:rStyle w:val="96"/>
          <w:rFonts w:hint="eastAsia"/>
          <w:b/>
          <w:bCs w:val="0"/>
        </w:rPr>
        <w:t>1.总则</w:t>
      </w:r>
      <w:bookmarkEnd w:id="25"/>
      <w:bookmarkEnd w:id="26"/>
    </w:p>
    <w:p w14:paraId="4006B689">
      <w:pPr>
        <w:pStyle w:val="59"/>
      </w:pPr>
      <w:bookmarkStart w:id="27" w:name="_Toc507936014"/>
      <w:bookmarkStart w:id="28" w:name="_Toc506105819"/>
      <w:r>
        <w:rPr>
          <w:rFonts w:hint="eastAsia"/>
        </w:rPr>
        <w:t>1.1 项目概况</w:t>
      </w:r>
      <w:bookmarkEnd w:id="27"/>
      <w:bookmarkEnd w:id="28"/>
    </w:p>
    <w:p w14:paraId="44FCC05B">
      <w:pPr>
        <w:spacing w:line="360" w:lineRule="auto"/>
        <w:ind w:firstLine="480" w:firstLineChars="200"/>
        <w:rPr>
          <w:rFonts w:cs="仿宋"/>
        </w:rPr>
      </w:pPr>
      <w:r>
        <w:rPr>
          <w:rFonts w:hint="eastAsia" w:cs="仿宋"/>
        </w:rPr>
        <w:t>根据《中华人民共和国招标投标法》、《中华人民共和国招标投标法实施条例》等有关法律、法规和规章的规定，本项目已具备公开招标条件。</w:t>
      </w:r>
    </w:p>
    <w:p w14:paraId="7083BF01">
      <w:pPr>
        <w:pStyle w:val="61"/>
        <w:keepNext w:val="0"/>
        <w:keepLines w:val="0"/>
        <w:spacing w:before="0" w:line="360" w:lineRule="auto"/>
        <w:ind w:firstLine="480" w:firstLineChars="200"/>
        <w:rPr>
          <w:szCs w:val="28"/>
        </w:rPr>
      </w:pPr>
      <w:r>
        <w:rPr>
          <w:rFonts w:hint="eastAsia" w:ascii="宋体" w:hAnsi="宋体" w:cs="仿宋"/>
          <w:sz w:val="24"/>
        </w:rPr>
        <w:t xml:space="preserve">1.1.1 </w:t>
      </w:r>
      <w:r>
        <w:rPr>
          <w:rFonts w:hint="eastAsia" w:ascii="宋体" w:hAnsi="宋体" w:eastAsia="宋体" w:cs="仿宋"/>
          <w:kern w:val="2"/>
          <w:sz w:val="24"/>
          <w:szCs w:val="24"/>
        </w:rPr>
        <w:t>招标人：</w:t>
      </w:r>
      <w:r>
        <w:rPr>
          <w:rFonts w:hint="eastAsia" w:ascii="宋体" w:hAnsi="宋体" w:eastAsia="宋体" w:cs="仿宋"/>
          <w:sz w:val="24"/>
          <w:szCs w:val="24"/>
        </w:rPr>
        <w:t>详见投标人须知前附表</w:t>
      </w:r>
    </w:p>
    <w:p w14:paraId="2AC60FBF">
      <w:pPr>
        <w:spacing w:line="360" w:lineRule="auto"/>
        <w:ind w:firstLine="480" w:firstLineChars="200"/>
        <w:rPr>
          <w:rFonts w:hint="eastAsia" w:cs="仿宋"/>
        </w:rPr>
      </w:pPr>
      <w:r>
        <w:rPr>
          <w:rFonts w:hint="eastAsia" w:cs="仿宋"/>
        </w:rPr>
        <w:t>1.1.2 招标项目名称：详见投标人须知前附表</w:t>
      </w:r>
    </w:p>
    <w:p w14:paraId="017DFD12">
      <w:pPr>
        <w:spacing w:line="360" w:lineRule="auto"/>
        <w:ind w:firstLine="480" w:firstLineChars="200"/>
        <w:rPr>
          <w:rFonts w:cs="仿宋"/>
        </w:rPr>
      </w:pPr>
      <w:r>
        <w:rPr>
          <w:rFonts w:hint="eastAsia" w:cs="仿宋"/>
        </w:rPr>
        <w:t>1.1.3项目概况: 详见投标人须知前附表</w:t>
      </w:r>
    </w:p>
    <w:p w14:paraId="71A5F3C7">
      <w:pPr>
        <w:spacing w:line="360" w:lineRule="auto"/>
        <w:ind w:firstLine="480" w:firstLineChars="200"/>
        <w:rPr>
          <w:rFonts w:cs="仿宋"/>
        </w:rPr>
      </w:pPr>
      <w:r>
        <w:rPr>
          <w:rFonts w:hint="eastAsia" w:cs="仿宋"/>
        </w:rPr>
        <w:t>1.1.4 项目地点：详见投标人须知前附表</w:t>
      </w:r>
    </w:p>
    <w:p w14:paraId="34154DE1">
      <w:pPr>
        <w:pStyle w:val="59"/>
      </w:pPr>
      <w:bookmarkStart w:id="29" w:name="_Toc25497"/>
      <w:bookmarkStart w:id="30" w:name="_Toc247513954"/>
      <w:bookmarkStart w:id="31" w:name="_Toc247527555"/>
      <w:bookmarkStart w:id="32" w:name="_Toc328559028"/>
      <w:bookmarkStart w:id="33" w:name="_Toc300834951"/>
      <w:bookmarkStart w:id="34" w:name="_Toc506105820"/>
      <w:bookmarkStart w:id="35" w:name="_Toc27657"/>
      <w:bookmarkStart w:id="36" w:name="_Toc507936015"/>
      <w:r>
        <w:rPr>
          <w:rFonts w:hint="eastAsia"/>
        </w:rPr>
        <w:t>1.2 项目资金来源</w:t>
      </w:r>
      <w:bookmarkEnd w:id="29"/>
      <w:bookmarkEnd w:id="30"/>
      <w:bookmarkEnd w:id="31"/>
      <w:bookmarkEnd w:id="32"/>
      <w:bookmarkEnd w:id="33"/>
      <w:bookmarkEnd w:id="34"/>
      <w:bookmarkEnd w:id="35"/>
      <w:r>
        <w:rPr>
          <w:rFonts w:hint="eastAsia"/>
        </w:rPr>
        <w:t>、招标方式、招标控价</w:t>
      </w:r>
      <w:bookmarkEnd w:id="36"/>
    </w:p>
    <w:p w14:paraId="5CB64A7B">
      <w:pPr>
        <w:spacing w:line="360" w:lineRule="auto"/>
        <w:ind w:firstLine="480" w:firstLineChars="200"/>
        <w:rPr>
          <w:rFonts w:hint="eastAsia" w:cs="仿宋"/>
        </w:rPr>
      </w:pPr>
      <w:r>
        <w:rPr>
          <w:rFonts w:hint="eastAsia" w:cs="仿宋"/>
        </w:rPr>
        <w:t>1.2.1 项目资金来源：</w:t>
      </w:r>
      <w:bookmarkStart w:id="37" w:name="_Toc16572"/>
      <w:bookmarkStart w:id="38" w:name="_Toc247513955"/>
      <w:bookmarkStart w:id="39" w:name="_Toc247527556"/>
      <w:bookmarkStart w:id="40" w:name="_Toc300834952"/>
      <w:bookmarkStart w:id="41" w:name="_Toc30612"/>
      <w:bookmarkStart w:id="42" w:name="_Toc328559029"/>
      <w:r>
        <w:rPr>
          <w:rFonts w:hint="eastAsia" w:cs="仿宋"/>
        </w:rPr>
        <w:t>详见投标人须知前附表</w:t>
      </w:r>
    </w:p>
    <w:p w14:paraId="70EE0EE8">
      <w:pPr>
        <w:spacing w:line="360" w:lineRule="auto"/>
        <w:ind w:firstLine="480" w:firstLineChars="200"/>
        <w:rPr>
          <w:rFonts w:hint="eastAsia" w:cs="仿宋"/>
        </w:rPr>
      </w:pPr>
      <w:r>
        <w:rPr>
          <w:rFonts w:hint="eastAsia" w:cs="仿宋"/>
        </w:rPr>
        <w:t>1.2.2招标方式：详见投标人须知前附表</w:t>
      </w:r>
    </w:p>
    <w:p w14:paraId="2B7173CB">
      <w:pPr>
        <w:pStyle w:val="45"/>
        <w:ind w:left="0" w:leftChars="0" w:firstLine="480"/>
        <w:rPr>
          <w:rFonts w:hint="eastAsia"/>
        </w:rPr>
      </w:pPr>
      <w:r>
        <w:rPr>
          <w:rFonts w:hint="eastAsia" w:ascii="宋体" w:hAnsi="宋体" w:cs="仿宋"/>
        </w:rPr>
        <w:t>1.2.3</w:t>
      </w:r>
      <w:r>
        <w:rPr>
          <w:rFonts w:hint="eastAsia"/>
        </w:rPr>
        <w:t>招标控价：</w:t>
      </w:r>
      <w:r>
        <w:rPr>
          <w:rFonts w:hint="eastAsia" w:ascii="宋体" w:hAnsi="宋体" w:cs="仿宋"/>
        </w:rPr>
        <w:t>详见</w:t>
      </w:r>
      <w:r>
        <w:rPr>
          <w:rFonts w:hint="eastAsia" w:cs="仿宋"/>
        </w:rPr>
        <w:t>投标人须知前附表</w:t>
      </w:r>
    </w:p>
    <w:p w14:paraId="2224C846">
      <w:pPr>
        <w:pStyle w:val="59"/>
      </w:pPr>
      <w:bookmarkStart w:id="43" w:name="_Toc506105821"/>
      <w:bookmarkStart w:id="44" w:name="_Toc507936016"/>
      <w:r>
        <w:rPr>
          <w:rFonts w:hint="eastAsia"/>
        </w:rPr>
        <w:t>1.3 招标范围、供货周期、</w:t>
      </w:r>
      <w:bookmarkEnd w:id="37"/>
      <w:bookmarkEnd w:id="38"/>
      <w:bookmarkEnd w:id="39"/>
      <w:bookmarkEnd w:id="40"/>
      <w:bookmarkEnd w:id="41"/>
      <w:bookmarkEnd w:id="42"/>
      <w:bookmarkEnd w:id="43"/>
      <w:r>
        <w:rPr>
          <w:rFonts w:hint="eastAsia"/>
        </w:rPr>
        <w:t>交货地点和质保期</w:t>
      </w:r>
      <w:bookmarkEnd w:id="44"/>
    </w:p>
    <w:p w14:paraId="7064FFFE">
      <w:pPr>
        <w:tabs>
          <w:tab w:val="left" w:pos="220"/>
        </w:tabs>
        <w:snapToGrid w:val="0"/>
        <w:spacing w:line="360" w:lineRule="auto"/>
        <w:ind w:firstLine="480" w:firstLineChars="200"/>
        <w:rPr>
          <w:rFonts w:cs="仿宋"/>
        </w:rPr>
      </w:pPr>
      <w:r>
        <w:rPr>
          <w:rFonts w:hint="eastAsia" w:cs="仿宋"/>
        </w:rPr>
        <w:t>1.3.1 招标范围：详见投标人须知前附表</w:t>
      </w:r>
    </w:p>
    <w:p w14:paraId="0325CDA3">
      <w:pPr>
        <w:spacing w:line="360" w:lineRule="auto"/>
        <w:ind w:firstLine="480" w:firstLineChars="200"/>
        <w:rPr>
          <w:rFonts w:hint="eastAsia" w:cs="仿宋"/>
        </w:rPr>
      </w:pPr>
      <w:r>
        <w:rPr>
          <w:rFonts w:hint="eastAsia" w:cs="仿宋"/>
        </w:rPr>
        <w:t>1.3.2 供货周期：详见投标人须知前附表</w:t>
      </w:r>
    </w:p>
    <w:p w14:paraId="5010BC60">
      <w:pPr>
        <w:spacing w:line="360" w:lineRule="auto"/>
        <w:ind w:firstLine="480" w:firstLineChars="200"/>
        <w:rPr>
          <w:rFonts w:hint="eastAsia" w:cs="仿宋"/>
        </w:rPr>
      </w:pPr>
      <w:r>
        <w:rPr>
          <w:rFonts w:hint="eastAsia" w:cs="仿宋"/>
        </w:rPr>
        <w:t>1.3.3 交货地点：详见投标人须知前附表</w:t>
      </w:r>
    </w:p>
    <w:p w14:paraId="703E7449">
      <w:pPr>
        <w:spacing w:line="360" w:lineRule="auto"/>
        <w:ind w:firstLine="480" w:firstLineChars="200"/>
        <w:rPr>
          <w:rFonts w:cs="仿宋"/>
        </w:rPr>
      </w:pPr>
      <w:r>
        <w:rPr>
          <w:rFonts w:hint="eastAsia" w:cs="仿宋"/>
        </w:rPr>
        <w:t>1.3.4质保期：详见投标人须知前附表</w:t>
      </w:r>
    </w:p>
    <w:p w14:paraId="10D2048D">
      <w:pPr>
        <w:pStyle w:val="59"/>
      </w:pPr>
      <w:bookmarkStart w:id="45" w:name="_Toc507936017"/>
      <w:bookmarkStart w:id="46" w:name="_Toc506105822"/>
      <w:r>
        <w:rPr>
          <w:rFonts w:hint="eastAsia"/>
        </w:rPr>
        <w:t>1.4 投标人资格要求</w:t>
      </w:r>
      <w:bookmarkEnd w:id="45"/>
      <w:bookmarkEnd w:id="46"/>
    </w:p>
    <w:p w14:paraId="627BCFA0">
      <w:pPr>
        <w:ind w:firstLine="480" w:firstLineChars="200"/>
        <w:rPr>
          <w:rFonts w:cs="仿宋"/>
        </w:rPr>
      </w:pPr>
      <w:r>
        <w:rPr>
          <w:rFonts w:hint="eastAsia" w:cs="仿宋"/>
        </w:rPr>
        <w:t xml:space="preserve">1.4.1 </w:t>
      </w:r>
      <w:r>
        <w:rPr>
          <w:rFonts w:hint="eastAsia"/>
        </w:rPr>
        <w:t>投标人</w:t>
      </w:r>
      <w:r>
        <w:rPr>
          <w:rFonts w:hint="eastAsia" w:cs="仿宋"/>
        </w:rPr>
        <w:t>资格要求：详见投标人须知前附表</w:t>
      </w:r>
    </w:p>
    <w:p w14:paraId="274C6AC5">
      <w:pPr>
        <w:spacing w:line="360" w:lineRule="auto"/>
        <w:ind w:firstLine="480" w:firstLineChars="200"/>
        <w:rPr>
          <w:rFonts w:hint="eastAsia" w:cs="仿宋"/>
        </w:rPr>
      </w:pPr>
      <w:r>
        <w:rPr>
          <w:rFonts w:hint="eastAsia" w:cs="仿宋"/>
        </w:rPr>
        <w:t>1.4.2 本次招标不接受联合体。</w:t>
      </w:r>
    </w:p>
    <w:p w14:paraId="61A220EA">
      <w:pPr>
        <w:tabs>
          <w:tab w:val="left" w:pos="220"/>
        </w:tabs>
        <w:snapToGrid w:val="0"/>
        <w:spacing w:line="360" w:lineRule="auto"/>
        <w:ind w:firstLine="480" w:firstLineChars="200"/>
        <w:rPr>
          <w:rFonts w:hint="eastAsia" w:cs="仿宋"/>
        </w:rPr>
      </w:pPr>
      <w:r>
        <w:rPr>
          <w:rFonts w:hint="eastAsia" w:cs="仿宋"/>
        </w:rPr>
        <w:t>1.4.3投标人不得存在下列情形之一：</w:t>
      </w:r>
    </w:p>
    <w:p w14:paraId="56E6CA26">
      <w:pPr>
        <w:tabs>
          <w:tab w:val="left" w:pos="220"/>
        </w:tabs>
        <w:snapToGrid w:val="0"/>
        <w:spacing w:line="360" w:lineRule="auto"/>
        <w:ind w:firstLine="480" w:firstLineChars="200"/>
        <w:rPr>
          <w:rFonts w:hint="eastAsia" w:cs="仿宋"/>
        </w:rPr>
      </w:pPr>
      <w:r>
        <w:rPr>
          <w:rFonts w:hint="eastAsia" w:cs="仿宋"/>
        </w:rPr>
        <w:t>（1）与招标人存在利害关系且可能影响招标公正性；</w:t>
      </w:r>
    </w:p>
    <w:p w14:paraId="59A7C803">
      <w:pPr>
        <w:tabs>
          <w:tab w:val="left" w:pos="220"/>
        </w:tabs>
        <w:snapToGrid w:val="0"/>
        <w:spacing w:line="360" w:lineRule="auto"/>
        <w:ind w:firstLine="480" w:firstLineChars="200"/>
        <w:rPr>
          <w:rFonts w:hint="eastAsia" w:cs="仿宋"/>
        </w:rPr>
      </w:pPr>
      <w:r>
        <w:rPr>
          <w:rFonts w:hint="eastAsia" w:cs="仿宋"/>
        </w:rPr>
        <w:t>（2）与本招标项目的其他投标人为同一个单位负责人；</w:t>
      </w:r>
    </w:p>
    <w:p w14:paraId="285CB697">
      <w:pPr>
        <w:tabs>
          <w:tab w:val="left" w:pos="220"/>
        </w:tabs>
        <w:snapToGrid w:val="0"/>
        <w:spacing w:line="360" w:lineRule="auto"/>
        <w:ind w:firstLine="480" w:firstLineChars="200"/>
        <w:rPr>
          <w:rFonts w:hint="eastAsia" w:cs="仿宋"/>
        </w:rPr>
      </w:pPr>
      <w:r>
        <w:rPr>
          <w:rFonts w:hint="eastAsia" w:cs="仿宋"/>
        </w:rPr>
        <w:t>（3）与本招标项目的其他投标人存在控股、管理关系；</w:t>
      </w:r>
    </w:p>
    <w:p w14:paraId="71E3DA6C">
      <w:pPr>
        <w:tabs>
          <w:tab w:val="left" w:pos="220"/>
        </w:tabs>
        <w:snapToGrid w:val="0"/>
        <w:spacing w:line="360" w:lineRule="auto"/>
        <w:ind w:firstLine="480" w:firstLineChars="200"/>
        <w:rPr>
          <w:rFonts w:hint="eastAsia" w:cs="仿宋"/>
        </w:rPr>
      </w:pPr>
      <w:r>
        <w:rPr>
          <w:rFonts w:hint="eastAsia" w:cs="仿宋"/>
        </w:rPr>
        <w:t>（4）与本招标项目其他投标人代理同一个制造商同一品牌同一型号的设备投标；</w:t>
      </w:r>
    </w:p>
    <w:p w14:paraId="69FFD63C">
      <w:pPr>
        <w:tabs>
          <w:tab w:val="left" w:pos="220"/>
        </w:tabs>
        <w:snapToGrid w:val="0"/>
        <w:spacing w:line="360" w:lineRule="auto"/>
        <w:ind w:firstLine="480" w:firstLineChars="200"/>
        <w:rPr>
          <w:rFonts w:hint="eastAsia" w:cs="仿宋"/>
        </w:rPr>
      </w:pPr>
      <w:r>
        <w:rPr>
          <w:rFonts w:hint="eastAsia" w:cs="仿宋"/>
        </w:rPr>
        <w:t>（5）为本招标项目提供过设计、编制技术规范和其他文件的咨询服务；</w:t>
      </w:r>
    </w:p>
    <w:p w14:paraId="711909A7">
      <w:pPr>
        <w:tabs>
          <w:tab w:val="left" w:pos="220"/>
        </w:tabs>
        <w:snapToGrid w:val="0"/>
        <w:spacing w:line="360" w:lineRule="auto"/>
        <w:ind w:firstLine="480" w:firstLineChars="200"/>
        <w:rPr>
          <w:rFonts w:hint="eastAsia" w:cs="仿宋"/>
        </w:rPr>
      </w:pPr>
      <w:r>
        <w:rPr>
          <w:rFonts w:hint="eastAsia" w:cs="仿宋"/>
        </w:rPr>
        <w:t>（6）为本工程项目的相关监理人，或者与本工程项目的相关监理人存在隶属关系或者其他 利害关系；</w:t>
      </w:r>
    </w:p>
    <w:p w14:paraId="4CDE23FB">
      <w:pPr>
        <w:tabs>
          <w:tab w:val="left" w:pos="220"/>
        </w:tabs>
        <w:snapToGrid w:val="0"/>
        <w:spacing w:line="360" w:lineRule="auto"/>
        <w:ind w:firstLine="480" w:firstLineChars="200"/>
        <w:rPr>
          <w:rFonts w:hint="eastAsia" w:cs="仿宋"/>
        </w:rPr>
      </w:pPr>
      <w:r>
        <w:rPr>
          <w:rFonts w:hint="eastAsia" w:cs="仿宋"/>
        </w:rPr>
        <w:t>（7）为本招标项目的代建人；</w:t>
      </w:r>
    </w:p>
    <w:p w14:paraId="56D4038E">
      <w:pPr>
        <w:tabs>
          <w:tab w:val="left" w:pos="220"/>
        </w:tabs>
        <w:snapToGrid w:val="0"/>
        <w:spacing w:line="360" w:lineRule="auto"/>
        <w:ind w:firstLine="480" w:firstLineChars="200"/>
        <w:rPr>
          <w:rFonts w:hint="eastAsia" w:cs="仿宋"/>
        </w:rPr>
      </w:pPr>
      <w:r>
        <w:rPr>
          <w:rFonts w:hint="eastAsia" w:cs="仿宋"/>
        </w:rPr>
        <w:t>（8）为本招标项目的招标代理机构；</w:t>
      </w:r>
    </w:p>
    <w:p w14:paraId="638D83EE">
      <w:pPr>
        <w:tabs>
          <w:tab w:val="left" w:pos="220"/>
        </w:tabs>
        <w:snapToGrid w:val="0"/>
        <w:spacing w:line="360" w:lineRule="auto"/>
        <w:ind w:firstLine="480" w:firstLineChars="200"/>
        <w:rPr>
          <w:rFonts w:hint="eastAsia" w:cs="仿宋"/>
        </w:rPr>
      </w:pPr>
      <w:r>
        <w:rPr>
          <w:rFonts w:hint="eastAsia" w:cs="仿宋"/>
        </w:rPr>
        <w:t>（9）与本招标项目的监理人或代建人或招标代理机构同为一个法定代表人；</w:t>
      </w:r>
    </w:p>
    <w:p w14:paraId="52248822">
      <w:pPr>
        <w:tabs>
          <w:tab w:val="left" w:pos="220"/>
        </w:tabs>
        <w:snapToGrid w:val="0"/>
        <w:spacing w:line="360" w:lineRule="auto"/>
        <w:ind w:firstLine="480" w:firstLineChars="200"/>
        <w:rPr>
          <w:rFonts w:hint="eastAsia" w:cs="仿宋"/>
        </w:rPr>
      </w:pPr>
      <w:r>
        <w:rPr>
          <w:rFonts w:hint="eastAsia" w:cs="仿宋"/>
        </w:rPr>
        <w:t>（10）与本招标项目的监理人或代建人或招标代理机构存在控股或参股关系；</w:t>
      </w:r>
    </w:p>
    <w:p w14:paraId="29B0E145">
      <w:pPr>
        <w:tabs>
          <w:tab w:val="left" w:pos="220"/>
        </w:tabs>
        <w:snapToGrid w:val="0"/>
        <w:spacing w:line="360" w:lineRule="auto"/>
        <w:ind w:firstLine="480" w:firstLineChars="200"/>
        <w:rPr>
          <w:rFonts w:hint="eastAsia" w:cs="仿宋"/>
        </w:rPr>
      </w:pPr>
      <w:r>
        <w:rPr>
          <w:rFonts w:hint="eastAsia" w:cs="仿宋"/>
        </w:rPr>
        <w:t>（11）被依法暂停或者取消投标资格；</w:t>
      </w:r>
    </w:p>
    <w:p w14:paraId="382DAF45">
      <w:pPr>
        <w:tabs>
          <w:tab w:val="left" w:pos="220"/>
        </w:tabs>
        <w:snapToGrid w:val="0"/>
        <w:spacing w:line="360" w:lineRule="auto"/>
        <w:ind w:firstLine="480" w:firstLineChars="200"/>
        <w:rPr>
          <w:rFonts w:hint="eastAsia" w:cs="仿宋"/>
        </w:rPr>
      </w:pPr>
      <w:r>
        <w:rPr>
          <w:rFonts w:hint="eastAsia" w:cs="仿宋"/>
        </w:rPr>
        <w:t>（12）被责令停产停业、暂扣或者吊销许可证、暂扣或者吊销执照；</w:t>
      </w:r>
    </w:p>
    <w:p w14:paraId="31CC9078">
      <w:pPr>
        <w:tabs>
          <w:tab w:val="left" w:pos="220"/>
        </w:tabs>
        <w:snapToGrid w:val="0"/>
        <w:spacing w:line="360" w:lineRule="auto"/>
        <w:ind w:firstLine="480" w:firstLineChars="200"/>
        <w:rPr>
          <w:rFonts w:hint="eastAsia" w:cs="仿宋"/>
        </w:rPr>
      </w:pPr>
      <w:r>
        <w:rPr>
          <w:rFonts w:hint="eastAsia" w:cs="仿宋"/>
        </w:rPr>
        <w:t>（13）进入清算程序，或被宣告破产，或其他丧失履约能力的情形；</w:t>
      </w:r>
    </w:p>
    <w:p w14:paraId="4EBB2647">
      <w:pPr>
        <w:tabs>
          <w:tab w:val="left" w:pos="220"/>
        </w:tabs>
        <w:snapToGrid w:val="0"/>
        <w:spacing w:line="360" w:lineRule="auto"/>
        <w:ind w:firstLine="480" w:firstLineChars="200"/>
        <w:rPr>
          <w:rFonts w:hint="eastAsia" w:cs="仿宋"/>
        </w:rPr>
      </w:pPr>
      <w:r>
        <w:rPr>
          <w:rFonts w:hint="eastAsia" w:cs="仿宋"/>
        </w:rPr>
        <w:t>（14）在最近三年内发生重大产品质量问题（以相关行业主管部门的行政处罚决定或司法 机关出具的有关法律文书为准）；</w:t>
      </w:r>
    </w:p>
    <w:p w14:paraId="54091F18">
      <w:pPr>
        <w:tabs>
          <w:tab w:val="left" w:pos="220"/>
        </w:tabs>
        <w:snapToGrid w:val="0"/>
        <w:spacing w:line="360" w:lineRule="auto"/>
        <w:ind w:firstLine="480" w:firstLineChars="200"/>
        <w:rPr>
          <w:rFonts w:hint="eastAsia" w:cs="仿宋"/>
        </w:rPr>
      </w:pPr>
      <w:r>
        <w:rPr>
          <w:rFonts w:hint="eastAsia" w:cs="仿宋"/>
        </w:rPr>
        <w:t>（15）被工商行政管理机关在全国企业信用信息公示系统中列入严重违法失信企业名单；</w:t>
      </w:r>
    </w:p>
    <w:p w14:paraId="05BBA63A">
      <w:pPr>
        <w:tabs>
          <w:tab w:val="left" w:pos="220"/>
        </w:tabs>
        <w:snapToGrid w:val="0"/>
        <w:spacing w:line="360" w:lineRule="auto"/>
        <w:ind w:firstLine="480" w:firstLineChars="200"/>
        <w:rPr>
          <w:rFonts w:hint="eastAsia" w:cs="仿宋"/>
        </w:rPr>
      </w:pPr>
      <w:r>
        <w:rPr>
          <w:rFonts w:hint="eastAsia" w:cs="仿宋"/>
        </w:rPr>
        <w:t>（16）被最高人民法院在“信用中国”网站（www.creditchina.gov.cn)或各级信用信息共享平台中列入失信被执行人名单；</w:t>
      </w:r>
    </w:p>
    <w:p w14:paraId="4A035CD2">
      <w:pPr>
        <w:tabs>
          <w:tab w:val="left" w:pos="220"/>
        </w:tabs>
        <w:snapToGrid w:val="0"/>
        <w:spacing w:line="360" w:lineRule="auto"/>
        <w:ind w:firstLine="480" w:firstLineChars="200"/>
        <w:rPr>
          <w:rFonts w:hint="eastAsia" w:cs="仿宋"/>
        </w:rPr>
      </w:pPr>
      <w:r>
        <w:rPr>
          <w:rFonts w:hint="eastAsia" w:cs="仿宋"/>
        </w:rPr>
        <w:t>（17）在近三年内投标人或其法定代表人、拟委任的项目负责人有行贿犯罪行为的（以检察机关职务犯罪预防部门出具的查询结果为准）；</w:t>
      </w:r>
    </w:p>
    <w:p w14:paraId="66A10A62">
      <w:pPr>
        <w:tabs>
          <w:tab w:val="left" w:pos="220"/>
        </w:tabs>
        <w:snapToGrid w:val="0"/>
        <w:spacing w:line="360" w:lineRule="auto"/>
        <w:ind w:firstLine="480" w:firstLineChars="200"/>
        <w:rPr>
          <w:rFonts w:hint="eastAsia" w:cs="仿宋"/>
        </w:rPr>
      </w:pPr>
      <w:r>
        <w:rPr>
          <w:rFonts w:hint="eastAsia" w:cs="仿宋"/>
        </w:rPr>
        <w:t>（18）法律法规或投标人须知前附表规定的其他情形。</w:t>
      </w:r>
    </w:p>
    <w:p w14:paraId="2420B3A8">
      <w:pPr>
        <w:pStyle w:val="59"/>
      </w:pPr>
      <w:bookmarkStart w:id="47" w:name="_Toc507936018"/>
      <w:bookmarkStart w:id="48" w:name="_Toc506105823"/>
      <w:r>
        <w:rPr>
          <w:rFonts w:hint="eastAsia"/>
        </w:rPr>
        <w:t>1.5 费用承担</w:t>
      </w:r>
      <w:bookmarkEnd w:id="47"/>
      <w:bookmarkEnd w:id="48"/>
    </w:p>
    <w:p w14:paraId="325C9A4E">
      <w:pPr>
        <w:ind w:firstLine="480" w:firstLineChars="200"/>
        <w:rPr>
          <w:rFonts w:cs="仿宋"/>
        </w:rPr>
      </w:pPr>
      <w:r>
        <w:rPr>
          <w:rFonts w:hint="eastAsia"/>
        </w:rPr>
        <w:t>投标人</w:t>
      </w:r>
      <w:r>
        <w:rPr>
          <w:rFonts w:hint="eastAsia" w:cs="仿宋"/>
        </w:rPr>
        <w:t>准备和参加招标活动发生的费用自理。</w:t>
      </w:r>
    </w:p>
    <w:p w14:paraId="6AA4DFA2">
      <w:pPr>
        <w:pStyle w:val="59"/>
      </w:pPr>
      <w:bookmarkStart w:id="49" w:name="_Toc506105824"/>
      <w:bookmarkStart w:id="50" w:name="_Toc507936019"/>
      <w:r>
        <w:rPr>
          <w:rFonts w:hint="eastAsia"/>
        </w:rPr>
        <w:t>1.6 保密</w:t>
      </w:r>
      <w:bookmarkEnd w:id="49"/>
      <w:bookmarkEnd w:id="50"/>
    </w:p>
    <w:p w14:paraId="4A6641FA">
      <w:pPr>
        <w:spacing w:line="360" w:lineRule="auto"/>
        <w:ind w:firstLine="480" w:firstLineChars="200"/>
        <w:rPr>
          <w:rFonts w:cs="仿宋"/>
        </w:rPr>
      </w:pPr>
      <w:r>
        <w:rPr>
          <w:rFonts w:hint="eastAsia" w:cs="仿宋"/>
        </w:rPr>
        <w:t>参与招标活动的各方应对招标文件和投标文件中的商业和技术等秘密保密，违者应对由此造成的后果承担法律责任。</w:t>
      </w:r>
    </w:p>
    <w:p w14:paraId="5C86BDF8">
      <w:pPr>
        <w:pStyle w:val="59"/>
      </w:pPr>
      <w:bookmarkStart w:id="51" w:name="_Toc507936020"/>
      <w:bookmarkStart w:id="52" w:name="_Toc506105825"/>
      <w:r>
        <w:rPr>
          <w:rFonts w:hint="eastAsia"/>
        </w:rPr>
        <w:t>1.7 语言文字</w:t>
      </w:r>
      <w:bookmarkEnd w:id="51"/>
      <w:bookmarkEnd w:id="52"/>
    </w:p>
    <w:p w14:paraId="79610D2C">
      <w:pPr>
        <w:spacing w:line="360" w:lineRule="auto"/>
        <w:ind w:firstLine="480" w:firstLineChars="200"/>
        <w:rPr>
          <w:rFonts w:cs="仿宋"/>
        </w:rPr>
      </w:pPr>
      <w:r>
        <w:rPr>
          <w:rFonts w:hint="eastAsia" w:cs="仿宋"/>
        </w:rPr>
        <w:t>除专用术语外，与招标有关的语言均使用中文，必要时专用术语应附有中文注释。</w:t>
      </w:r>
    </w:p>
    <w:p w14:paraId="7D0194C3">
      <w:pPr>
        <w:pStyle w:val="59"/>
      </w:pPr>
      <w:bookmarkStart w:id="53" w:name="_Toc507936021"/>
      <w:bookmarkStart w:id="54" w:name="_Toc506105826"/>
      <w:r>
        <w:rPr>
          <w:rFonts w:hint="eastAsia"/>
        </w:rPr>
        <w:t>1.8 计量单位</w:t>
      </w:r>
      <w:bookmarkEnd w:id="53"/>
      <w:bookmarkEnd w:id="54"/>
    </w:p>
    <w:p w14:paraId="1352FDF0">
      <w:pPr>
        <w:spacing w:line="360" w:lineRule="auto"/>
        <w:ind w:firstLine="480" w:firstLineChars="200"/>
        <w:rPr>
          <w:rFonts w:cs="仿宋"/>
        </w:rPr>
      </w:pPr>
      <w:r>
        <w:rPr>
          <w:rFonts w:hint="eastAsia" w:cs="仿宋"/>
        </w:rPr>
        <w:t>所有计量均采用中华人民共和国法定计量单位。</w:t>
      </w:r>
    </w:p>
    <w:p w14:paraId="67050C9F">
      <w:pPr>
        <w:pStyle w:val="59"/>
      </w:pPr>
      <w:bookmarkStart w:id="55" w:name="_Toc506105827"/>
      <w:bookmarkStart w:id="56" w:name="_Toc507936022"/>
      <w:r>
        <w:rPr>
          <w:rFonts w:hint="eastAsia"/>
        </w:rPr>
        <w:t>1.9 踏勘现场</w:t>
      </w:r>
      <w:bookmarkEnd w:id="55"/>
      <w:bookmarkEnd w:id="56"/>
    </w:p>
    <w:p w14:paraId="3E47E86D">
      <w:pPr>
        <w:spacing w:line="360" w:lineRule="auto"/>
        <w:ind w:firstLine="480" w:firstLineChars="200"/>
        <w:rPr>
          <w:rStyle w:val="96"/>
        </w:rPr>
      </w:pPr>
      <w:r>
        <w:rPr>
          <w:rFonts w:hint="eastAsia" w:cs="仿宋"/>
        </w:rPr>
        <w:t>1.9.1详见投标人须知前附表</w:t>
      </w:r>
    </w:p>
    <w:p w14:paraId="630047EB">
      <w:pPr>
        <w:pStyle w:val="59"/>
      </w:pPr>
      <w:bookmarkStart w:id="57" w:name="_Toc506105828"/>
      <w:bookmarkStart w:id="58" w:name="_Toc507936023"/>
      <w:r>
        <w:rPr>
          <w:rFonts w:hint="eastAsia"/>
        </w:rPr>
        <w:t>1.10 招标预备会</w:t>
      </w:r>
      <w:bookmarkEnd w:id="57"/>
      <w:bookmarkEnd w:id="58"/>
    </w:p>
    <w:p w14:paraId="16AE950B">
      <w:pPr>
        <w:spacing w:line="360" w:lineRule="auto"/>
        <w:ind w:firstLine="480" w:firstLineChars="200"/>
        <w:rPr>
          <w:rFonts w:hint="eastAsia" w:cs="仿宋"/>
        </w:rPr>
      </w:pPr>
      <w:r>
        <w:rPr>
          <w:rFonts w:hint="eastAsia" w:cs="仿宋"/>
        </w:rPr>
        <w:t>1.10.1招标人不召开招标预备会。</w:t>
      </w:r>
    </w:p>
    <w:p w14:paraId="18436658">
      <w:pPr>
        <w:pStyle w:val="59"/>
        <w:rPr>
          <w:rFonts w:hint="eastAsia"/>
        </w:rPr>
      </w:pPr>
      <w:r>
        <w:rPr>
          <w:rFonts w:hint="eastAsia"/>
        </w:rPr>
        <w:t>1.11响应和偏差</w:t>
      </w:r>
    </w:p>
    <w:p w14:paraId="52E6FC05">
      <w:pPr>
        <w:spacing w:line="360" w:lineRule="auto"/>
        <w:ind w:firstLine="480" w:firstLineChars="200"/>
        <w:rPr>
          <w:rFonts w:hint="eastAsia" w:cs="仿宋"/>
        </w:rPr>
      </w:pPr>
      <w:r>
        <w:rPr>
          <w:rFonts w:hint="eastAsia" w:cs="仿宋"/>
        </w:rPr>
        <w:t>1.11.1投标文件应当对招标文件的实质性要求和条件作出满足性或更有利于招标人的响应，否则，投标人的投标将被否决。实质性要求和条件见投标人须知前附表。</w:t>
      </w:r>
    </w:p>
    <w:p w14:paraId="77949B06">
      <w:pPr>
        <w:spacing w:line="360" w:lineRule="auto"/>
        <w:ind w:firstLine="480" w:firstLineChars="200"/>
        <w:rPr>
          <w:rFonts w:hint="eastAsia" w:cs="仿宋"/>
        </w:rPr>
      </w:pPr>
      <w:r>
        <w:rPr>
          <w:rFonts w:hint="eastAsia" w:cs="仿宋"/>
        </w:rPr>
        <w:t>1.11.2投标人应根据招标文件的要求提供投标设备技术性能指标的详细描述、技术支持资料及技术服务和质保期服务计划等内容以对招标文件作出响应。</w:t>
      </w:r>
    </w:p>
    <w:p w14:paraId="7B65BD2F">
      <w:pPr>
        <w:spacing w:line="360" w:lineRule="auto"/>
        <w:ind w:firstLine="480" w:firstLineChars="200"/>
        <w:rPr>
          <w:rFonts w:hint="eastAsia" w:cs="仿宋"/>
        </w:rPr>
      </w:pPr>
      <w:r>
        <w:rPr>
          <w:rFonts w:hint="eastAsia" w:cs="仿宋"/>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33ABE7FA">
      <w:pPr>
        <w:spacing w:line="360" w:lineRule="auto"/>
        <w:ind w:firstLine="480" w:firstLineChars="200"/>
        <w:rPr>
          <w:rFonts w:hint="eastAsia" w:cs="仿宋"/>
        </w:rPr>
      </w:pPr>
      <w:r>
        <w:rPr>
          <w:rFonts w:hint="eastAsia" w:cs="仿宋"/>
        </w:rPr>
        <w:t>1.11.4投标人须知前附表规定了可以偏差的范围和最高偏差项数的，偏差应当符合投标人须知前附表规定的偏差范围和最高项数，超出偏差范围和最高偏差项数的投标将被否决。</w:t>
      </w:r>
    </w:p>
    <w:p w14:paraId="40359951">
      <w:pPr>
        <w:spacing w:line="360" w:lineRule="auto"/>
        <w:ind w:firstLine="480" w:firstLineChars="200"/>
        <w:rPr>
          <w:rFonts w:hint="eastAsia" w:cs="仿宋"/>
        </w:rPr>
      </w:pPr>
      <w:r>
        <w:rPr>
          <w:rFonts w:hint="eastAsia" w:cs="仿宋"/>
        </w:rPr>
        <w:t>1.11.5投标文件对招标文件的全部偏差，均应在投标文件的商务和技术偏差表中列明，除列明的内容外，视为投标人响应招标文件的全部要求。</w:t>
      </w:r>
    </w:p>
    <w:p w14:paraId="14B9D161">
      <w:pPr>
        <w:pStyle w:val="64"/>
        <w:rPr>
          <w:rStyle w:val="96"/>
          <w:b/>
          <w:bCs/>
        </w:rPr>
      </w:pPr>
      <w:bookmarkStart w:id="59" w:name="_Toc507936024"/>
      <w:r>
        <w:rPr>
          <w:rStyle w:val="96"/>
          <w:rFonts w:hint="eastAsia"/>
          <w:b/>
          <w:bCs/>
        </w:rPr>
        <w:t>2.招标文件</w:t>
      </w:r>
      <w:bookmarkEnd w:id="59"/>
    </w:p>
    <w:p w14:paraId="0098E044">
      <w:pPr>
        <w:pStyle w:val="59"/>
      </w:pPr>
      <w:bookmarkStart w:id="60" w:name="_Toc507936025"/>
      <w:bookmarkStart w:id="61" w:name="_Toc506105830"/>
      <w:r>
        <w:rPr>
          <w:rFonts w:hint="eastAsia"/>
        </w:rPr>
        <w:t>2.1 招标文件的内容</w:t>
      </w:r>
      <w:bookmarkEnd w:id="60"/>
      <w:bookmarkEnd w:id="61"/>
      <w:r>
        <w:rPr>
          <w:rFonts w:hint="eastAsia"/>
        </w:rPr>
        <w:t>和发布</w:t>
      </w:r>
    </w:p>
    <w:p w14:paraId="2FF0A4F7">
      <w:pPr>
        <w:spacing w:line="360" w:lineRule="auto"/>
        <w:ind w:firstLine="480" w:firstLineChars="200"/>
        <w:rPr>
          <w:rFonts w:cs="仿宋"/>
        </w:rPr>
      </w:pPr>
      <w:r>
        <w:rPr>
          <w:rFonts w:hint="eastAsia" w:cs="仿宋"/>
        </w:rPr>
        <w:t>2.1.1招标文件包括：</w:t>
      </w:r>
    </w:p>
    <w:p w14:paraId="0FA68F33">
      <w:pPr>
        <w:spacing w:line="360" w:lineRule="auto"/>
        <w:ind w:firstLine="480" w:firstLineChars="200"/>
        <w:rPr>
          <w:rFonts w:cs="仿宋"/>
        </w:rPr>
      </w:pPr>
      <w:r>
        <w:rPr>
          <w:rFonts w:hint="eastAsia" w:cs="仿宋"/>
        </w:rPr>
        <w:t>（1）招标公告</w:t>
      </w:r>
    </w:p>
    <w:p w14:paraId="77D807D3">
      <w:pPr>
        <w:spacing w:line="360" w:lineRule="auto"/>
        <w:ind w:firstLine="480" w:firstLineChars="200"/>
        <w:rPr>
          <w:rFonts w:cs="仿宋"/>
        </w:rPr>
      </w:pPr>
      <w:r>
        <w:rPr>
          <w:rFonts w:hint="eastAsia" w:cs="仿宋"/>
        </w:rPr>
        <w:t>（2）招标人须知</w:t>
      </w:r>
    </w:p>
    <w:p w14:paraId="591D6468">
      <w:pPr>
        <w:spacing w:line="360" w:lineRule="auto"/>
        <w:ind w:firstLine="480" w:firstLineChars="200"/>
        <w:rPr>
          <w:rFonts w:cs="仿宋"/>
        </w:rPr>
      </w:pPr>
      <w:r>
        <w:rPr>
          <w:rFonts w:hint="eastAsia" w:cs="仿宋"/>
        </w:rPr>
        <w:t>（3）评标办法</w:t>
      </w:r>
    </w:p>
    <w:p w14:paraId="3552B93F">
      <w:pPr>
        <w:spacing w:line="360" w:lineRule="auto"/>
        <w:ind w:firstLine="480" w:firstLineChars="200"/>
        <w:rPr>
          <w:rFonts w:cs="仿宋"/>
        </w:rPr>
      </w:pPr>
      <w:r>
        <w:rPr>
          <w:rFonts w:hint="eastAsia" w:cs="仿宋"/>
        </w:rPr>
        <w:t>（4）合同及附件</w:t>
      </w:r>
    </w:p>
    <w:p w14:paraId="4867BF14">
      <w:pPr>
        <w:spacing w:line="360" w:lineRule="auto"/>
        <w:ind w:firstLine="480" w:firstLineChars="200"/>
        <w:rPr>
          <w:rFonts w:cs="仿宋"/>
        </w:rPr>
      </w:pPr>
      <w:r>
        <w:rPr>
          <w:rFonts w:hint="eastAsia" w:cs="仿宋"/>
        </w:rPr>
        <w:t>（5）投标文件格式及内容</w:t>
      </w:r>
    </w:p>
    <w:p w14:paraId="6B31EC95">
      <w:pPr>
        <w:spacing w:line="360" w:lineRule="auto"/>
        <w:ind w:firstLine="480" w:firstLineChars="200"/>
        <w:rPr>
          <w:rFonts w:cs="仿宋"/>
        </w:rPr>
      </w:pPr>
      <w:r>
        <w:rPr>
          <w:rFonts w:hint="eastAsia" w:cs="仿宋"/>
        </w:rPr>
        <w:t>（6）需求一览表</w:t>
      </w:r>
    </w:p>
    <w:p w14:paraId="7F7FCB6E">
      <w:pPr>
        <w:spacing w:line="360" w:lineRule="auto"/>
        <w:ind w:firstLine="480" w:firstLineChars="200"/>
        <w:rPr>
          <w:rFonts w:hint="eastAsia" w:cs="仿宋"/>
        </w:rPr>
      </w:pPr>
      <w:r>
        <w:rPr>
          <w:rFonts w:hint="eastAsia" w:cs="仿宋"/>
        </w:rPr>
        <w:t>（7）技术规范</w:t>
      </w:r>
    </w:p>
    <w:p w14:paraId="1751DA52">
      <w:pPr>
        <w:spacing w:line="360" w:lineRule="auto"/>
        <w:ind w:firstLine="480" w:firstLineChars="200"/>
        <w:rPr>
          <w:rFonts w:cs="仿宋"/>
        </w:rPr>
      </w:pPr>
      <w:r>
        <w:rPr>
          <w:rFonts w:hint="eastAsia" w:cs="仿宋"/>
        </w:rPr>
        <w:t>（8）</w:t>
      </w:r>
      <w:r>
        <w:rPr>
          <w:rFonts w:hint="eastAsia"/>
        </w:rPr>
        <w:t>投标人须知前附表规定的其他材料</w:t>
      </w:r>
    </w:p>
    <w:p w14:paraId="4B948BD7">
      <w:pPr>
        <w:spacing w:line="360" w:lineRule="auto"/>
        <w:ind w:firstLine="480" w:firstLineChars="200"/>
        <w:rPr>
          <w:rFonts w:cs="仿宋"/>
        </w:rPr>
      </w:pPr>
      <w:r>
        <w:rPr>
          <w:rFonts w:hint="eastAsia" w:cs="仿宋"/>
        </w:rPr>
        <w:t>根据本章第1.10款、第2.2款和第2.3款对招标文件所作的澄清、修改，构成招标文件的组成部分。</w:t>
      </w:r>
    </w:p>
    <w:p w14:paraId="3ECF2774">
      <w:pPr>
        <w:spacing w:line="360" w:lineRule="auto"/>
        <w:ind w:firstLine="480" w:firstLineChars="200"/>
        <w:rPr>
          <w:rFonts w:hint="eastAsia" w:cs="仿宋"/>
        </w:rPr>
      </w:pPr>
      <w:r>
        <w:rPr>
          <w:rFonts w:hint="eastAsia" w:cs="仿宋"/>
        </w:rPr>
        <w:t>2.1.2若招标文件中不同章节对同一内容叙述有差异的，性能、参数以技术要求为准；投标人资格要求、交货期、交货地点、质保期以</w:t>
      </w:r>
      <w:r>
        <w:rPr>
          <w:rFonts w:hint="eastAsia"/>
        </w:rPr>
        <w:t>投标人须知前附表</w:t>
      </w:r>
      <w:r>
        <w:rPr>
          <w:rFonts w:hint="eastAsia" w:cs="仿宋"/>
        </w:rPr>
        <w:t>为准。</w:t>
      </w:r>
    </w:p>
    <w:p w14:paraId="56E673F1">
      <w:pPr>
        <w:pStyle w:val="45"/>
        <w:spacing w:line="360" w:lineRule="auto"/>
        <w:ind w:left="0" w:leftChars="0" w:firstLine="480"/>
        <w:rPr>
          <w:rFonts w:ascii="宋体" w:hAnsi="宋体" w:cs="仿宋"/>
        </w:rPr>
      </w:pPr>
      <w:r>
        <w:rPr>
          <w:rFonts w:hint="eastAsia" w:ascii="宋体" w:hAnsi="宋体" w:cs="仿宋"/>
        </w:rPr>
        <w:t>2.1.3本招标文件在济钢集团有限公司阳光购销平台（网址：</w:t>
      </w:r>
      <w:r>
        <w:rPr>
          <w:rFonts w:hint="eastAsia" w:ascii="宋体" w:hAnsi="宋体" w:cs="仿宋"/>
        </w:rPr>
        <w:fldChar w:fldCharType="begin"/>
      </w:r>
      <w:r>
        <w:rPr>
          <w:rFonts w:hint="eastAsia" w:ascii="宋体" w:hAnsi="宋体" w:cs="仿宋"/>
        </w:rPr>
        <w:instrText xml:space="preserve"> HYPERLINK "http://bidding.jigang.com.cn" </w:instrText>
      </w:r>
      <w:r>
        <w:rPr>
          <w:rFonts w:hint="eastAsia" w:ascii="宋体" w:hAnsi="宋体" w:cs="仿宋"/>
        </w:rPr>
        <w:fldChar w:fldCharType="separate"/>
      </w:r>
      <w:r>
        <w:rPr>
          <w:rFonts w:hint="eastAsia" w:ascii="宋体" w:hAnsi="宋体" w:cs="仿宋"/>
        </w:rPr>
        <w:t>http://bidding.jigang.com.cn</w:t>
      </w:r>
      <w:r>
        <w:rPr>
          <w:rFonts w:hint="eastAsia" w:ascii="宋体" w:hAnsi="宋体" w:cs="仿宋"/>
        </w:rPr>
        <w:fldChar w:fldCharType="end"/>
      </w:r>
      <w:r>
        <w:rPr>
          <w:rFonts w:hint="eastAsia" w:ascii="宋体" w:hAnsi="宋体" w:cs="仿宋"/>
        </w:rPr>
        <w:t>/） 上发布。除上述媒介以外的媒介转载或发布与本次招标相关信息的，招标人不承担任何责任并保留追究相关方责任的权利。</w:t>
      </w:r>
    </w:p>
    <w:p w14:paraId="0AD1D5F0">
      <w:pPr>
        <w:pStyle w:val="59"/>
      </w:pPr>
      <w:bookmarkStart w:id="62" w:name="_Toc507936026"/>
      <w:bookmarkStart w:id="63" w:name="_Toc506105831"/>
      <w:r>
        <w:rPr>
          <w:rFonts w:hint="eastAsia"/>
        </w:rPr>
        <w:t>2.2 招标文件的澄清</w:t>
      </w:r>
      <w:bookmarkEnd w:id="62"/>
      <w:bookmarkEnd w:id="63"/>
    </w:p>
    <w:p w14:paraId="62DCBC9D">
      <w:pPr>
        <w:spacing w:line="360" w:lineRule="auto"/>
        <w:ind w:firstLine="480" w:firstLineChars="200"/>
        <w:rPr>
          <w:rFonts w:cs="仿宋"/>
        </w:rPr>
      </w:pPr>
      <w:r>
        <w:rPr>
          <w:rFonts w:hint="eastAsia" w:cs="仿宋"/>
        </w:rPr>
        <w:t>2.2.1投标人应仔细阅读和检查招标文件的全部内容。如发现缺页或者附件不全，应及时向招标人提出，以便补齐。</w:t>
      </w:r>
    </w:p>
    <w:p w14:paraId="6D0A51E2">
      <w:pPr>
        <w:spacing w:line="360" w:lineRule="auto"/>
        <w:ind w:firstLine="480" w:firstLineChars="200"/>
        <w:rPr>
          <w:rFonts w:hint="eastAsia"/>
        </w:rPr>
      </w:pPr>
      <w:r>
        <w:rPr>
          <w:rFonts w:hint="eastAsia" w:cs="仿宋"/>
        </w:rPr>
        <w:t>2.2.2招标文件的澄清：详见投标人须知前附表</w:t>
      </w:r>
    </w:p>
    <w:p w14:paraId="7ED47CB6">
      <w:pPr>
        <w:pStyle w:val="59"/>
        <w:rPr>
          <w:rFonts w:hint="eastAsia"/>
        </w:rPr>
      </w:pPr>
      <w:bookmarkStart w:id="64" w:name="_Toc507936027"/>
      <w:bookmarkStart w:id="65" w:name="_Toc506105832"/>
      <w:r>
        <w:rPr>
          <w:rFonts w:hint="eastAsia"/>
        </w:rPr>
        <w:t>2.3 招标文件的修改</w:t>
      </w:r>
      <w:bookmarkEnd w:id="64"/>
      <w:bookmarkEnd w:id="65"/>
    </w:p>
    <w:p w14:paraId="61CD0E56">
      <w:pPr>
        <w:spacing w:line="360" w:lineRule="auto"/>
        <w:ind w:firstLine="480" w:firstLineChars="200"/>
        <w:rPr>
          <w:rFonts w:hint="eastAsia" w:cs="仿宋"/>
        </w:rPr>
      </w:pPr>
      <w:r>
        <w:rPr>
          <w:rFonts w:hint="eastAsia" w:cs="仿宋"/>
        </w:rPr>
        <w:t>详见投标人须知前附表</w:t>
      </w:r>
    </w:p>
    <w:p w14:paraId="2332A8B3">
      <w:pPr>
        <w:pStyle w:val="59"/>
      </w:pPr>
      <w:bookmarkStart w:id="66" w:name="_Toc506105833"/>
      <w:bookmarkStart w:id="67" w:name="_Toc507936028"/>
      <w:r>
        <w:rPr>
          <w:rFonts w:hint="eastAsia"/>
        </w:rPr>
        <w:t>2.4对招标文件的异议</w:t>
      </w:r>
      <w:bookmarkEnd w:id="66"/>
      <w:bookmarkEnd w:id="67"/>
    </w:p>
    <w:p w14:paraId="196E3E50">
      <w:pPr>
        <w:spacing w:line="360" w:lineRule="auto"/>
        <w:ind w:firstLine="480" w:firstLineChars="200"/>
        <w:rPr>
          <w:rFonts w:hint="eastAsia" w:cs="仿宋"/>
        </w:rPr>
      </w:pPr>
      <w:r>
        <w:rPr>
          <w:rFonts w:hint="eastAsia" w:cs="仿宋"/>
        </w:rPr>
        <w:t>投标人对招标文件有异议的，应当在递交投标文件截止之日7天前提出。招标人自收到异议之日起3日内做出答复；若异议和答复内容影响招标文件编制的，按照本章第2.3款的规定相应延长开标时间。</w:t>
      </w:r>
    </w:p>
    <w:p w14:paraId="0353C9E3">
      <w:pPr>
        <w:spacing w:line="360" w:lineRule="auto"/>
        <w:jc w:val="center"/>
        <w:rPr>
          <w:rStyle w:val="96"/>
          <w:rFonts w:hint="eastAsia"/>
        </w:rPr>
      </w:pPr>
      <w:r>
        <w:rPr>
          <w:rStyle w:val="96"/>
          <w:rFonts w:hint="eastAsia"/>
        </w:rPr>
        <w:t>3、投标文件</w:t>
      </w:r>
    </w:p>
    <w:p w14:paraId="21980BDE">
      <w:pPr>
        <w:pStyle w:val="59"/>
      </w:pPr>
      <w:bookmarkStart w:id="68" w:name="_Toc506105835"/>
      <w:bookmarkStart w:id="69" w:name="_Toc507936029"/>
      <w:r>
        <w:rPr>
          <w:rFonts w:hint="eastAsia"/>
        </w:rPr>
        <w:t>3.1 投标文件的组成</w:t>
      </w:r>
      <w:bookmarkEnd w:id="68"/>
      <w:bookmarkEnd w:id="69"/>
    </w:p>
    <w:p w14:paraId="493DFF54">
      <w:pPr>
        <w:spacing w:line="360" w:lineRule="auto"/>
        <w:ind w:firstLine="480" w:firstLineChars="200"/>
        <w:rPr>
          <w:rFonts w:cs="仿宋"/>
        </w:rPr>
      </w:pPr>
      <w:r>
        <w:rPr>
          <w:rFonts w:hint="eastAsia" w:cs="仿宋"/>
        </w:rPr>
        <w:t>3.1.1投标文件包括下列内容：</w:t>
      </w:r>
    </w:p>
    <w:p w14:paraId="11E6F362">
      <w:pPr>
        <w:spacing w:line="360" w:lineRule="auto"/>
        <w:ind w:firstLine="480" w:firstLineChars="200"/>
        <w:rPr>
          <w:rFonts w:cs="仿宋"/>
        </w:rPr>
      </w:pPr>
      <w:r>
        <w:rPr>
          <w:rFonts w:hint="eastAsia" w:cs="仿宋"/>
        </w:rPr>
        <w:t>第一部分  商务部分</w:t>
      </w:r>
    </w:p>
    <w:p w14:paraId="5AD9BF5A">
      <w:pPr>
        <w:spacing w:line="360" w:lineRule="auto"/>
        <w:ind w:firstLine="480" w:firstLineChars="200"/>
        <w:rPr>
          <w:rFonts w:cs="仿宋"/>
        </w:rPr>
      </w:pPr>
      <w:r>
        <w:rPr>
          <w:rFonts w:hint="eastAsia" w:cs="仿宋"/>
        </w:rPr>
        <w:t>（1）报价函</w:t>
      </w:r>
    </w:p>
    <w:p w14:paraId="088FC515">
      <w:pPr>
        <w:spacing w:line="360" w:lineRule="auto"/>
        <w:ind w:firstLine="480" w:firstLineChars="200"/>
        <w:rPr>
          <w:rFonts w:cs="仿宋"/>
        </w:rPr>
      </w:pPr>
      <w:r>
        <w:rPr>
          <w:rFonts w:hint="eastAsia" w:cs="仿宋"/>
        </w:rPr>
        <w:t>（2）授权委托书</w:t>
      </w:r>
    </w:p>
    <w:p w14:paraId="71AF887E">
      <w:pPr>
        <w:spacing w:line="360" w:lineRule="auto"/>
        <w:ind w:firstLine="480" w:firstLineChars="200"/>
        <w:rPr>
          <w:rFonts w:cs="仿宋"/>
        </w:rPr>
      </w:pPr>
      <w:r>
        <w:rPr>
          <w:rFonts w:hint="eastAsia" w:cs="仿宋"/>
        </w:rPr>
        <w:t>（3）投标保证金</w:t>
      </w:r>
    </w:p>
    <w:p w14:paraId="3CFDAA04">
      <w:pPr>
        <w:spacing w:line="360" w:lineRule="auto"/>
        <w:ind w:firstLine="480" w:firstLineChars="200"/>
        <w:rPr>
          <w:rFonts w:cs="仿宋"/>
        </w:rPr>
      </w:pPr>
      <w:r>
        <w:rPr>
          <w:rFonts w:hint="eastAsia" w:cs="仿宋"/>
        </w:rPr>
        <w:t>（4）资格审查资料</w:t>
      </w:r>
    </w:p>
    <w:p w14:paraId="69ED0EC3">
      <w:pPr>
        <w:spacing w:line="360" w:lineRule="auto"/>
        <w:ind w:firstLine="480" w:firstLineChars="200"/>
        <w:rPr>
          <w:rFonts w:cs="仿宋"/>
        </w:rPr>
      </w:pPr>
      <w:r>
        <w:rPr>
          <w:rFonts w:hint="eastAsia" w:cs="仿宋"/>
        </w:rPr>
        <w:t>（5）报价表</w:t>
      </w:r>
    </w:p>
    <w:p w14:paraId="7095F478">
      <w:pPr>
        <w:spacing w:line="360" w:lineRule="auto"/>
        <w:ind w:firstLine="480" w:firstLineChars="200"/>
        <w:rPr>
          <w:rFonts w:cs="仿宋"/>
        </w:rPr>
      </w:pPr>
      <w:r>
        <w:rPr>
          <w:rFonts w:hint="eastAsia" w:cs="仿宋"/>
        </w:rPr>
        <w:t>（6）商务偏差表</w:t>
      </w:r>
    </w:p>
    <w:p w14:paraId="57DC0EA8">
      <w:pPr>
        <w:spacing w:line="360" w:lineRule="auto"/>
        <w:ind w:firstLine="480" w:firstLineChars="200"/>
        <w:rPr>
          <w:rFonts w:cs="仿宋"/>
        </w:rPr>
      </w:pPr>
      <w:r>
        <w:rPr>
          <w:rFonts w:hint="eastAsia" w:cs="仿宋"/>
        </w:rPr>
        <w:t>（7）无行贿犯罪记录证明材料</w:t>
      </w:r>
    </w:p>
    <w:p w14:paraId="0BF3B6E9">
      <w:pPr>
        <w:spacing w:line="360" w:lineRule="auto"/>
        <w:ind w:firstLine="480" w:firstLineChars="200"/>
        <w:rPr>
          <w:rFonts w:cs="仿宋"/>
        </w:rPr>
      </w:pPr>
      <w:r>
        <w:rPr>
          <w:rFonts w:hint="eastAsia" w:cs="仿宋"/>
        </w:rPr>
        <w:t>（8）投标人认为应补充的其它商务资料</w:t>
      </w:r>
    </w:p>
    <w:p w14:paraId="1FA1E671">
      <w:pPr>
        <w:spacing w:line="360" w:lineRule="auto"/>
        <w:ind w:firstLine="480" w:firstLineChars="200"/>
        <w:rPr>
          <w:rFonts w:cs="仿宋"/>
        </w:rPr>
      </w:pPr>
      <w:r>
        <w:rPr>
          <w:rFonts w:hint="eastAsia" w:cs="仿宋"/>
        </w:rPr>
        <w:t>第二部分  技术部分</w:t>
      </w:r>
    </w:p>
    <w:p w14:paraId="2359252E">
      <w:pPr>
        <w:spacing w:line="360" w:lineRule="auto"/>
        <w:ind w:left="480"/>
        <w:rPr>
          <w:rFonts w:cs="仿宋"/>
        </w:rPr>
      </w:pPr>
      <w:r>
        <w:rPr>
          <w:rFonts w:hint="eastAsia" w:cs="仿宋"/>
        </w:rPr>
        <w:t>（1）招标内容</w:t>
      </w:r>
    </w:p>
    <w:p w14:paraId="6567C352">
      <w:pPr>
        <w:spacing w:line="360" w:lineRule="auto"/>
        <w:ind w:left="480"/>
        <w:rPr>
          <w:rFonts w:cs="仿宋"/>
        </w:rPr>
      </w:pPr>
      <w:r>
        <w:rPr>
          <w:rFonts w:hint="eastAsia" w:cs="仿宋"/>
        </w:rPr>
        <w:t>（2）交货计划表</w:t>
      </w:r>
    </w:p>
    <w:p w14:paraId="7A46F2D5">
      <w:pPr>
        <w:spacing w:line="360" w:lineRule="auto"/>
        <w:ind w:left="480"/>
        <w:rPr>
          <w:rFonts w:cs="仿宋"/>
        </w:rPr>
      </w:pPr>
      <w:r>
        <w:rPr>
          <w:rFonts w:hint="eastAsia" w:cs="仿宋"/>
        </w:rPr>
        <w:t>（3）技术要求</w:t>
      </w:r>
    </w:p>
    <w:p w14:paraId="08E56013">
      <w:pPr>
        <w:spacing w:line="360" w:lineRule="auto"/>
        <w:ind w:left="480"/>
        <w:rPr>
          <w:rFonts w:hint="eastAsia" w:cs="仿宋"/>
        </w:rPr>
      </w:pPr>
      <w:r>
        <w:rPr>
          <w:rFonts w:hint="eastAsia" w:cs="仿宋"/>
        </w:rPr>
        <w:t>（4）技术偏差表</w:t>
      </w:r>
    </w:p>
    <w:p w14:paraId="1A60C931">
      <w:pPr>
        <w:pStyle w:val="45"/>
        <w:ind w:left="0" w:leftChars="0" w:firstLine="480"/>
      </w:pPr>
      <w:r>
        <w:rPr>
          <w:rFonts w:hint="eastAsia" w:ascii="宋体" w:hAnsi="宋体" w:cs="仿宋"/>
        </w:rPr>
        <w:t>（5）</w:t>
      </w:r>
      <w:r>
        <w:rPr>
          <w:rFonts w:hint="eastAsia" w:cs="仿宋"/>
        </w:rPr>
        <w:t>投标人</w:t>
      </w:r>
      <w:r>
        <w:rPr>
          <w:rFonts w:hint="eastAsia" w:ascii="宋体" w:hAnsi="宋体" w:cs="仿宋"/>
        </w:rPr>
        <w:t>认为应补充的其它技术资料</w:t>
      </w:r>
    </w:p>
    <w:p w14:paraId="38F29C09">
      <w:pPr>
        <w:pStyle w:val="59"/>
      </w:pPr>
      <w:bookmarkStart w:id="70" w:name="_Toc506105836"/>
      <w:bookmarkStart w:id="71" w:name="_Toc406766394"/>
      <w:bookmarkStart w:id="72" w:name="_Toc507936030"/>
      <w:r>
        <w:rPr>
          <w:rFonts w:hint="eastAsia"/>
        </w:rPr>
        <w:t>3.2 报价</w:t>
      </w:r>
      <w:bookmarkEnd w:id="70"/>
      <w:bookmarkEnd w:id="71"/>
      <w:bookmarkEnd w:id="72"/>
    </w:p>
    <w:p w14:paraId="3A210F9F">
      <w:pPr>
        <w:spacing w:line="360" w:lineRule="auto"/>
        <w:ind w:firstLine="480" w:firstLineChars="200"/>
        <w:rPr>
          <w:rFonts w:hint="eastAsia" w:cs="仿宋"/>
        </w:rPr>
      </w:pPr>
      <w:r>
        <w:rPr>
          <w:rFonts w:hint="eastAsia" w:cs="仿宋"/>
        </w:rPr>
        <w:t>3.2.1 报价方式：投标总价；</w:t>
      </w:r>
      <w:r>
        <w:rPr>
          <w:rFonts w:hint="eastAsia"/>
        </w:rPr>
        <w:t>报价币种：人民币；报价为13%增值税专用发票价格。</w:t>
      </w:r>
    </w:p>
    <w:p w14:paraId="2E14DA4C">
      <w:pPr>
        <w:spacing w:line="360" w:lineRule="auto"/>
        <w:ind w:firstLine="480" w:firstLineChars="200"/>
        <w:rPr>
          <w:rFonts w:cs="仿宋"/>
        </w:rPr>
      </w:pPr>
      <w:r>
        <w:rPr>
          <w:rFonts w:hint="eastAsia" w:cs="仿宋"/>
        </w:rPr>
        <w:t>3.2.2 投标人在招标开始时间前修改报价函中的总报价，应同时修改“报价组成表”中的相应价格。此修改须符合本章第4.3款的有关规定。　</w:t>
      </w:r>
    </w:p>
    <w:p w14:paraId="60977492">
      <w:pPr>
        <w:pStyle w:val="59"/>
      </w:pPr>
      <w:bookmarkStart w:id="73" w:name="_Toc506105837"/>
      <w:bookmarkStart w:id="74" w:name="_Toc507936031"/>
      <w:bookmarkStart w:id="75" w:name="_Toc406766395"/>
      <w:r>
        <w:rPr>
          <w:rFonts w:hint="eastAsia"/>
        </w:rPr>
        <w:t>3.3 投标有效期</w:t>
      </w:r>
      <w:bookmarkEnd w:id="73"/>
      <w:bookmarkEnd w:id="74"/>
      <w:bookmarkEnd w:id="75"/>
    </w:p>
    <w:p w14:paraId="40532B91">
      <w:pPr>
        <w:spacing w:line="360" w:lineRule="auto"/>
        <w:ind w:firstLine="480" w:firstLineChars="200"/>
        <w:rPr>
          <w:rFonts w:cs="仿宋"/>
        </w:rPr>
      </w:pPr>
      <w:r>
        <w:rPr>
          <w:rFonts w:hint="eastAsia" w:cs="仿宋"/>
        </w:rPr>
        <w:t>3.3.1投标有效期：详见投标人须知前附表</w:t>
      </w:r>
    </w:p>
    <w:p w14:paraId="78723F48">
      <w:pPr>
        <w:spacing w:line="360" w:lineRule="auto"/>
        <w:ind w:firstLine="480" w:firstLineChars="200"/>
        <w:rPr>
          <w:rFonts w:cs="仿宋"/>
        </w:rPr>
      </w:pPr>
      <w:r>
        <w:rPr>
          <w:rFonts w:hint="eastAsia" w:cs="仿宋"/>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文件失效，但投标人有权收回其投标保证金。</w:t>
      </w:r>
    </w:p>
    <w:p w14:paraId="4B7695F7">
      <w:pPr>
        <w:pStyle w:val="59"/>
      </w:pPr>
      <w:bookmarkStart w:id="76" w:name="_Toc406766396"/>
      <w:bookmarkStart w:id="77" w:name="_Toc507936032"/>
      <w:bookmarkStart w:id="78" w:name="_Toc506105838"/>
      <w:r>
        <w:rPr>
          <w:rFonts w:hint="eastAsia"/>
        </w:rPr>
        <w:t xml:space="preserve">3.4 </w:t>
      </w:r>
      <w:bookmarkEnd w:id="76"/>
      <w:bookmarkEnd w:id="77"/>
      <w:bookmarkEnd w:id="78"/>
      <w:r>
        <w:rPr>
          <w:rFonts w:hint="eastAsia"/>
        </w:rPr>
        <w:t>投标保证金</w:t>
      </w:r>
    </w:p>
    <w:p w14:paraId="5FDCFAD1">
      <w:pPr>
        <w:spacing w:line="360" w:lineRule="auto"/>
        <w:ind w:firstLine="480" w:firstLineChars="200"/>
        <w:rPr>
          <w:rFonts w:cs="仿宋"/>
        </w:rPr>
      </w:pPr>
      <w:r>
        <w:rPr>
          <w:rFonts w:hint="eastAsia" w:cs="仿宋"/>
        </w:rPr>
        <w:t>3.4.1 投标人在递交投标文件的同时，应按招标公告规定的金额、担保形式递交投标保证金，并作为其投标文件的组成部分。详见投标人须知前附表。</w:t>
      </w:r>
    </w:p>
    <w:p w14:paraId="22502742">
      <w:pPr>
        <w:spacing w:line="360" w:lineRule="auto"/>
        <w:ind w:firstLine="480" w:firstLineChars="200"/>
        <w:rPr>
          <w:rFonts w:cs="仿宋"/>
        </w:rPr>
      </w:pPr>
      <w:r>
        <w:rPr>
          <w:rFonts w:hint="eastAsia" w:cs="仿宋"/>
        </w:rPr>
        <w:t>3.4.2 投标人不按本章第3.4.1项要求提交投标保证金的，其投标文件作无效。</w:t>
      </w:r>
    </w:p>
    <w:p w14:paraId="1646C896">
      <w:pPr>
        <w:spacing w:line="360" w:lineRule="auto"/>
        <w:ind w:firstLine="480" w:firstLineChars="200"/>
        <w:rPr>
          <w:rFonts w:cs="仿宋"/>
          <w:bCs/>
        </w:rPr>
      </w:pPr>
      <w:r>
        <w:rPr>
          <w:rFonts w:hint="eastAsia" w:cs="仿宋"/>
        </w:rPr>
        <w:t>3.4.3</w:t>
      </w:r>
      <w:r>
        <w:rPr>
          <w:rFonts w:hint="eastAsia" w:cs="仿宋"/>
          <w:bCs/>
        </w:rPr>
        <w:t xml:space="preserve"> </w:t>
      </w:r>
      <w:r>
        <w:rPr>
          <w:rFonts w:hint="eastAsia" w:cs="仿宋"/>
        </w:rPr>
        <w:t>招标人与中标人签订合同30日内</w:t>
      </w:r>
      <w:r>
        <w:rPr>
          <w:rFonts w:hint="eastAsia" w:cs="仿宋"/>
          <w:bCs/>
        </w:rPr>
        <w:t>，向未中标的</w:t>
      </w:r>
      <w:r>
        <w:rPr>
          <w:rFonts w:hint="eastAsia" w:cs="仿宋"/>
        </w:rPr>
        <w:t>投标人</w:t>
      </w:r>
      <w:r>
        <w:rPr>
          <w:rFonts w:hint="eastAsia" w:cs="仿宋"/>
          <w:bCs/>
        </w:rPr>
        <w:t>退还投标保证金。</w:t>
      </w:r>
    </w:p>
    <w:p w14:paraId="467283DB">
      <w:pPr>
        <w:spacing w:line="360" w:lineRule="auto"/>
        <w:ind w:firstLine="480" w:firstLineChars="200"/>
        <w:rPr>
          <w:rFonts w:cs="仿宋"/>
        </w:rPr>
      </w:pPr>
      <w:r>
        <w:rPr>
          <w:rFonts w:hint="eastAsia" w:cs="仿宋"/>
        </w:rPr>
        <w:t>3.4.4 有下列情形之一的，投标保证金将不予退还：</w:t>
      </w:r>
    </w:p>
    <w:p w14:paraId="0329125C">
      <w:pPr>
        <w:spacing w:line="360" w:lineRule="auto"/>
        <w:ind w:firstLine="480" w:firstLineChars="200"/>
        <w:rPr>
          <w:rFonts w:cs="仿宋"/>
        </w:rPr>
      </w:pPr>
      <w:r>
        <w:rPr>
          <w:rFonts w:hint="eastAsia" w:cs="仿宋"/>
        </w:rPr>
        <w:t>（1）投标人在规定的招标有效期内撤销或修改其投标文件；</w:t>
      </w:r>
    </w:p>
    <w:p w14:paraId="73D3A1EC">
      <w:pPr>
        <w:spacing w:line="360" w:lineRule="auto"/>
        <w:ind w:firstLine="480" w:firstLineChars="200"/>
        <w:rPr>
          <w:rFonts w:cs="仿宋"/>
        </w:rPr>
      </w:pPr>
      <w:r>
        <w:rPr>
          <w:rFonts w:hint="eastAsia" w:cs="仿宋"/>
        </w:rPr>
        <w:t>（2）中标人在收到中标通知书后，无正当理由拒签合同协议书或未按招标文件规定提交履约担保。</w:t>
      </w:r>
    </w:p>
    <w:p w14:paraId="482D2C14">
      <w:pPr>
        <w:pStyle w:val="59"/>
      </w:pPr>
      <w:bookmarkStart w:id="79" w:name="_Toc506105839"/>
      <w:bookmarkStart w:id="80" w:name="_Toc507936033"/>
      <w:r>
        <w:rPr>
          <w:rFonts w:hint="eastAsia"/>
        </w:rPr>
        <w:t>3.5 资格审查资料</w:t>
      </w:r>
      <w:bookmarkEnd w:id="79"/>
      <w:bookmarkEnd w:id="80"/>
    </w:p>
    <w:p w14:paraId="0707F7E7">
      <w:pPr>
        <w:spacing w:line="360" w:lineRule="auto"/>
        <w:ind w:firstLine="480" w:firstLineChars="200"/>
        <w:rPr>
          <w:rFonts w:cs="仿宋"/>
        </w:rPr>
      </w:pPr>
      <w:r>
        <w:rPr>
          <w:rFonts w:hint="eastAsia" w:cs="仿宋"/>
        </w:rPr>
        <w:t xml:space="preserve">3.5.1 </w:t>
      </w:r>
      <w:r>
        <w:rPr>
          <w:rFonts w:hint="eastAsia"/>
        </w:rPr>
        <w:t>营业执照、资质证书、体系认证、资信等级、人员资格证书、业绩合同、获奖证书</w:t>
      </w:r>
      <w:r>
        <w:rPr>
          <w:rFonts w:hint="eastAsia" w:cs="仿宋"/>
        </w:rPr>
        <w:t>等材料的复印件。</w:t>
      </w:r>
    </w:p>
    <w:p w14:paraId="2BA0EE1D">
      <w:pPr>
        <w:spacing w:line="360" w:lineRule="auto"/>
        <w:ind w:firstLine="480" w:firstLineChars="200"/>
        <w:rPr>
          <w:rFonts w:hint="eastAsia"/>
        </w:rPr>
      </w:pPr>
      <w:r>
        <w:rPr>
          <w:rFonts w:hint="eastAsia" w:cs="仿宋"/>
        </w:rPr>
        <w:t xml:space="preserve">3.5.2 </w:t>
      </w:r>
      <w:r>
        <w:rPr>
          <w:rFonts w:hint="eastAsia"/>
        </w:rPr>
        <w:t>近3年财务审计报告</w:t>
      </w:r>
    </w:p>
    <w:p w14:paraId="0D71C93E">
      <w:pPr>
        <w:spacing w:line="360" w:lineRule="auto"/>
        <w:ind w:firstLine="480" w:firstLineChars="200"/>
        <w:rPr>
          <w:rFonts w:hint="eastAsia" w:cs="仿宋"/>
        </w:rPr>
      </w:pPr>
      <w:r>
        <w:rPr>
          <w:rFonts w:hint="eastAsia" w:cs="仿宋"/>
        </w:rPr>
        <w:t>3.5.3“近3年完成的业绩情况表”具体要求详见商务部分</w:t>
      </w:r>
    </w:p>
    <w:p w14:paraId="3AFF024C">
      <w:pPr>
        <w:spacing w:line="360" w:lineRule="auto"/>
        <w:ind w:firstLine="480" w:firstLineChars="200"/>
        <w:rPr>
          <w:rFonts w:hint="eastAsia" w:cs="仿宋"/>
        </w:rPr>
      </w:pPr>
      <w:r>
        <w:rPr>
          <w:rFonts w:hint="eastAsia" w:cs="仿宋"/>
        </w:rPr>
        <w:t>3.5.4 “近3年发生的诉讼及仲裁情况”应说明相关情况，并附法院或仲裁机构作出的判决、裁决等有关法律文书复印件。</w:t>
      </w:r>
    </w:p>
    <w:p w14:paraId="1E16E22A">
      <w:pPr>
        <w:spacing w:line="360" w:lineRule="auto"/>
        <w:ind w:firstLine="480" w:firstLineChars="200"/>
        <w:rPr>
          <w:rFonts w:cs="仿宋"/>
        </w:rPr>
      </w:pPr>
      <w:r>
        <w:rPr>
          <w:rFonts w:hint="eastAsia" w:cs="仿宋"/>
        </w:rPr>
        <w:t>3.5.4认为有必要提供的其他证明文件。</w:t>
      </w:r>
    </w:p>
    <w:p w14:paraId="50AF6153">
      <w:pPr>
        <w:pStyle w:val="59"/>
        <w:rPr>
          <w:rFonts w:hint="eastAsia"/>
        </w:rPr>
      </w:pPr>
      <w:bookmarkStart w:id="81" w:name="_Toc506105840"/>
      <w:bookmarkStart w:id="82" w:name="_Toc507936034"/>
      <w:r>
        <w:rPr>
          <w:rFonts w:hint="eastAsia"/>
        </w:rPr>
        <w:t>3.6 备选投标方案</w:t>
      </w:r>
      <w:bookmarkEnd w:id="81"/>
      <w:bookmarkEnd w:id="82"/>
    </w:p>
    <w:p w14:paraId="43BF0745">
      <w:pPr>
        <w:spacing w:line="360" w:lineRule="auto"/>
        <w:ind w:firstLine="480" w:firstLineChars="200"/>
        <w:rPr>
          <w:rFonts w:hint="eastAsia" w:cs="仿宋"/>
        </w:rPr>
      </w:pPr>
      <w:r>
        <w:rPr>
          <w:rFonts w:hint="eastAsia" w:cs="仿宋"/>
        </w:rPr>
        <w:t>3.6.1本次招标不接受备选方案。</w:t>
      </w:r>
    </w:p>
    <w:p w14:paraId="37ACEA89">
      <w:pPr>
        <w:pStyle w:val="59"/>
      </w:pPr>
      <w:bookmarkStart w:id="83" w:name="_Toc507936035"/>
      <w:bookmarkStart w:id="84" w:name="_Toc506105841"/>
      <w:r>
        <w:rPr>
          <w:rFonts w:hint="eastAsia"/>
        </w:rPr>
        <w:t>3.7 投标文件的编制</w:t>
      </w:r>
      <w:bookmarkEnd w:id="83"/>
      <w:bookmarkEnd w:id="84"/>
    </w:p>
    <w:p w14:paraId="14CB468E">
      <w:pPr>
        <w:spacing w:line="360" w:lineRule="auto"/>
        <w:ind w:firstLine="480" w:firstLineChars="200"/>
        <w:rPr>
          <w:rFonts w:cs="仿宋"/>
        </w:rPr>
      </w:pPr>
      <w:r>
        <w:rPr>
          <w:rFonts w:hint="eastAsia" w:cs="仿宋"/>
        </w:rPr>
        <w:t>3.7.1投标文件应按《第五章投标文件格式及内容》要求进行编写。</w:t>
      </w:r>
    </w:p>
    <w:p w14:paraId="575EB866">
      <w:pPr>
        <w:spacing w:line="360" w:lineRule="auto"/>
        <w:ind w:firstLine="480" w:firstLineChars="200"/>
        <w:rPr>
          <w:rFonts w:cs="仿宋"/>
        </w:rPr>
      </w:pPr>
      <w:r>
        <w:rPr>
          <w:rFonts w:hint="eastAsia" w:cs="仿宋"/>
        </w:rPr>
        <w:t>3.7.2投标文件应当对招标文件有关交货期、投标有效期、质量要求、技术要求、招标范围等实质性内容作出响应。</w:t>
      </w:r>
    </w:p>
    <w:p w14:paraId="36376917">
      <w:pPr>
        <w:spacing w:line="360" w:lineRule="auto"/>
        <w:ind w:firstLine="480" w:firstLineChars="200"/>
        <w:rPr>
          <w:rFonts w:cs="仿宋"/>
        </w:rPr>
      </w:pPr>
      <w:r>
        <w:rPr>
          <w:rFonts w:hint="eastAsia" w:cs="仿宋"/>
        </w:rPr>
        <w:t>3.7.3投标文件应用不褪色的材料书写或打印，并由法定代表人或其委托代理人签字或盖公章。签字或盖章的具体要求见投标人须知前附表。</w:t>
      </w:r>
    </w:p>
    <w:p w14:paraId="6D9CE011">
      <w:pPr>
        <w:spacing w:line="360" w:lineRule="auto"/>
        <w:ind w:firstLine="480" w:firstLineChars="200"/>
        <w:rPr>
          <w:rFonts w:cs="仿宋"/>
        </w:rPr>
      </w:pPr>
      <w:r>
        <w:rPr>
          <w:rFonts w:hint="eastAsia" w:cs="仿宋"/>
        </w:rPr>
        <w:t>3.7.4投标文件正本壹份，副本</w:t>
      </w:r>
      <w:r>
        <w:rPr>
          <w:rFonts w:hint="eastAsia" w:cs="仿宋"/>
          <w:lang w:val="en-US" w:eastAsia="zh-CN"/>
        </w:rPr>
        <w:t>贰</w:t>
      </w:r>
      <w:r>
        <w:rPr>
          <w:rFonts w:hint="eastAsia" w:cs="仿宋"/>
        </w:rPr>
        <w:t>份。正本和副本的封面上应清楚地标记“正本”或“副本”的字样并加盖公章。当副本和正本不一致时，以正本为准。</w:t>
      </w:r>
    </w:p>
    <w:p w14:paraId="743521BF">
      <w:pPr>
        <w:spacing w:line="360" w:lineRule="auto"/>
        <w:ind w:firstLine="480" w:firstLineChars="200"/>
        <w:rPr>
          <w:rFonts w:cs="仿宋"/>
        </w:rPr>
      </w:pPr>
      <w:r>
        <w:rPr>
          <w:rFonts w:hint="eastAsia" w:cs="仿宋"/>
        </w:rPr>
        <w:t>3.7.5投标文件的正本与副本应分别装订成册，并编制目录，详见投标人须知前附表。</w:t>
      </w:r>
    </w:p>
    <w:p w14:paraId="64361D86">
      <w:pPr>
        <w:spacing w:line="360" w:lineRule="auto"/>
        <w:ind w:firstLine="480" w:firstLineChars="200"/>
        <w:rPr>
          <w:rFonts w:hint="eastAsia" w:cs="仿宋"/>
        </w:rPr>
      </w:pPr>
      <w:r>
        <w:rPr>
          <w:rFonts w:hint="eastAsia" w:cs="仿宋"/>
        </w:rPr>
        <w:t>3.7.6本次招标须提供应文件电子版（U盘一件），电子版与纸质版需一致，若不一致以纸质版为准。投标文件电子版文件格式为可编辑的Word“*.doc”、“*.docx”或Excel“*.xls”、“*.xlsx”，文字部分格式采用Word“*.doc”、“*.docx”，报价清单部分格式采用Excel“*.xls”、“*.xlsx”。</w:t>
      </w:r>
    </w:p>
    <w:p w14:paraId="146318B7">
      <w:pPr>
        <w:spacing w:line="360" w:lineRule="auto"/>
        <w:jc w:val="center"/>
        <w:rPr>
          <w:rStyle w:val="96"/>
          <w:rFonts w:hint="eastAsia"/>
        </w:rPr>
      </w:pPr>
      <w:r>
        <w:rPr>
          <w:rStyle w:val="96"/>
          <w:rFonts w:hint="eastAsia"/>
        </w:rPr>
        <w:t>4.投标</w:t>
      </w:r>
    </w:p>
    <w:p w14:paraId="04220EA1">
      <w:pPr>
        <w:pStyle w:val="59"/>
      </w:pPr>
      <w:bookmarkStart w:id="85" w:name="_Toc507936037"/>
      <w:bookmarkStart w:id="86" w:name="_Toc506105844"/>
      <w:r>
        <w:rPr>
          <w:rFonts w:hint="eastAsia"/>
        </w:rPr>
        <w:t>4.1 投标文件的递交</w:t>
      </w:r>
      <w:bookmarkEnd w:id="85"/>
      <w:bookmarkEnd w:id="86"/>
    </w:p>
    <w:p w14:paraId="004BA927">
      <w:pPr>
        <w:spacing w:line="360" w:lineRule="auto"/>
        <w:ind w:firstLine="480" w:firstLineChars="200"/>
        <w:rPr>
          <w:rFonts w:cs="仿宋"/>
        </w:rPr>
      </w:pPr>
      <w:r>
        <w:rPr>
          <w:rFonts w:hint="eastAsia" w:cs="仿宋"/>
        </w:rPr>
        <w:t>4.1.1递交投标文件的截止时间和地点，详见投标人须知前附表。</w:t>
      </w:r>
    </w:p>
    <w:p w14:paraId="645E4940">
      <w:pPr>
        <w:spacing w:line="360" w:lineRule="auto"/>
        <w:ind w:firstLine="480" w:firstLineChars="200"/>
        <w:rPr>
          <w:rFonts w:cs="仿宋"/>
        </w:rPr>
      </w:pPr>
      <w:r>
        <w:rPr>
          <w:rFonts w:hint="eastAsia" w:cs="仿宋"/>
        </w:rPr>
        <w:t>4.1.2除投标人须知前附表另有规定外，所递交的投标文件不予退还。</w:t>
      </w:r>
    </w:p>
    <w:p w14:paraId="3DE5270C">
      <w:pPr>
        <w:pStyle w:val="59"/>
      </w:pPr>
      <w:bookmarkStart w:id="87" w:name="_Toc507936038"/>
      <w:bookmarkStart w:id="88" w:name="_Toc506105845"/>
      <w:r>
        <w:rPr>
          <w:rFonts w:hint="eastAsia"/>
        </w:rPr>
        <w:t>4.2 投标文件的修改与撤回</w:t>
      </w:r>
      <w:bookmarkEnd w:id="87"/>
      <w:bookmarkEnd w:id="88"/>
    </w:p>
    <w:p w14:paraId="4C345419">
      <w:pPr>
        <w:spacing w:line="360" w:lineRule="auto"/>
        <w:ind w:firstLine="480" w:firstLineChars="200"/>
        <w:rPr>
          <w:rFonts w:cs="仿宋"/>
        </w:rPr>
      </w:pPr>
      <w:r>
        <w:rPr>
          <w:rFonts w:hint="eastAsia" w:cs="仿宋"/>
        </w:rPr>
        <w:t>4.2.1在递交投标文件截止时间前，投标人可以修改或撤回已递交的投标文件，但应以书面形式通知招标人。</w:t>
      </w:r>
    </w:p>
    <w:p w14:paraId="290E0C8E">
      <w:pPr>
        <w:spacing w:line="360" w:lineRule="auto"/>
        <w:ind w:firstLine="480" w:firstLineChars="200"/>
        <w:rPr>
          <w:rFonts w:cs="仿宋"/>
        </w:rPr>
      </w:pPr>
      <w:r>
        <w:rPr>
          <w:rFonts w:hint="eastAsia" w:cs="仿宋"/>
        </w:rPr>
        <w:t>4.2.2投标人修改或撤回已递交投标文件应按要求签字或盖章。</w:t>
      </w:r>
    </w:p>
    <w:p w14:paraId="7C5FF624">
      <w:pPr>
        <w:spacing w:line="360" w:lineRule="auto"/>
        <w:ind w:firstLine="480" w:firstLineChars="200"/>
        <w:rPr>
          <w:rFonts w:cs="仿宋"/>
        </w:rPr>
      </w:pPr>
      <w:r>
        <w:rPr>
          <w:rFonts w:hint="eastAsia" w:cs="仿宋"/>
        </w:rPr>
        <w:t>4.2.3修改的内容为投标文件的组成部分。修改的投标文件应按照本章第3条、第4条规定进行编制、密封、标记和递交，并标明“修改”字样。</w:t>
      </w:r>
    </w:p>
    <w:p w14:paraId="13327BB2">
      <w:pPr>
        <w:pStyle w:val="64"/>
        <w:rPr>
          <w:rStyle w:val="96"/>
          <w:rFonts w:hint="eastAsia"/>
          <w:b/>
          <w:bCs/>
        </w:rPr>
      </w:pPr>
      <w:bookmarkStart w:id="89" w:name="_Toc507936039"/>
      <w:bookmarkStart w:id="90" w:name="_Toc506105846"/>
      <w:r>
        <w:rPr>
          <w:rStyle w:val="96"/>
          <w:rFonts w:hint="eastAsia"/>
          <w:b/>
          <w:bCs/>
        </w:rPr>
        <w:t>5.</w:t>
      </w:r>
      <w:bookmarkEnd w:id="89"/>
      <w:bookmarkEnd w:id="90"/>
      <w:r>
        <w:rPr>
          <w:rStyle w:val="96"/>
          <w:rFonts w:hint="eastAsia"/>
          <w:b/>
          <w:bCs/>
        </w:rPr>
        <w:t>开标</w:t>
      </w:r>
    </w:p>
    <w:p w14:paraId="712A557F">
      <w:pPr>
        <w:pStyle w:val="59"/>
        <w:rPr>
          <w:rFonts w:hint="eastAsia"/>
        </w:rPr>
      </w:pPr>
      <w:bookmarkStart w:id="91" w:name="_Toc506105847"/>
      <w:bookmarkStart w:id="92" w:name="_Toc507936040"/>
      <w:r>
        <w:rPr>
          <w:rFonts w:hint="eastAsia"/>
        </w:rPr>
        <w:t xml:space="preserve">5.1 </w:t>
      </w:r>
      <w:bookmarkEnd w:id="91"/>
      <w:bookmarkEnd w:id="92"/>
      <w:bookmarkStart w:id="93" w:name="_Toc506105848"/>
      <w:r>
        <w:rPr>
          <w:rFonts w:hint="eastAsia"/>
        </w:rPr>
        <w:t>开标</w:t>
      </w:r>
    </w:p>
    <w:p w14:paraId="25FF4094">
      <w:pPr>
        <w:spacing w:line="360" w:lineRule="auto"/>
        <w:rPr>
          <w:rFonts w:hint="eastAsia" w:cs="仿宋"/>
        </w:rPr>
      </w:pPr>
      <w:r>
        <w:rPr>
          <w:rFonts w:hint="eastAsia" w:cs="仿宋"/>
        </w:rPr>
        <w:t>5.1.1</w:t>
      </w:r>
      <w:r>
        <w:rPr>
          <w:rFonts w:hint="eastAsia"/>
        </w:rPr>
        <w:t>开标时间和方式：</w:t>
      </w:r>
      <w:r>
        <w:rPr>
          <w:rFonts w:hint="eastAsia" w:cs="仿宋"/>
        </w:rPr>
        <w:t>详见投标人须知前附表。</w:t>
      </w:r>
    </w:p>
    <w:p w14:paraId="51C9CA46">
      <w:pPr>
        <w:spacing w:line="360" w:lineRule="auto"/>
        <w:rPr>
          <w:rFonts w:hint="eastAsia" w:cs="仿宋"/>
        </w:rPr>
      </w:pPr>
      <w:r>
        <w:rPr>
          <w:rFonts w:hint="eastAsia" w:cs="仿宋"/>
        </w:rPr>
        <w:t>5.1.2</w:t>
      </w:r>
      <w:r>
        <w:rPr>
          <w:rFonts w:hint="eastAsia"/>
        </w:rPr>
        <w:t>投标人证件及业绩的提交：</w:t>
      </w:r>
      <w:r>
        <w:rPr>
          <w:rFonts w:hint="eastAsia" w:cs="仿宋"/>
        </w:rPr>
        <w:t>详见投标人须知前附表。</w:t>
      </w:r>
    </w:p>
    <w:p w14:paraId="1B03CE9D">
      <w:pPr>
        <w:spacing w:line="360" w:lineRule="auto"/>
        <w:rPr>
          <w:rFonts w:hint="eastAsia" w:cs="仿宋"/>
        </w:rPr>
      </w:pPr>
      <w:r>
        <w:rPr>
          <w:rFonts w:hint="eastAsia" w:cs="仿宋"/>
        </w:rPr>
        <w:t>5.1.3</w:t>
      </w:r>
      <w:r>
        <w:rPr>
          <w:rFonts w:hint="eastAsia"/>
        </w:rPr>
        <w:t>开标时投标人需要携带的证件：</w:t>
      </w:r>
      <w:r>
        <w:rPr>
          <w:rFonts w:hint="eastAsia" w:cs="仿宋"/>
        </w:rPr>
        <w:t>详见投标人须知前附表。</w:t>
      </w:r>
    </w:p>
    <w:bookmarkEnd w:id="93"/>
    <w:p w14:paraId="2365F628">
      <w:pPr>
        <w:pStyle w:val="64"/>
        <w:rPr>
          <w:rStyle w:val="96"/>
          <w:rFonts w:hint="eastAsia"/>
          <w:b/>
          <w:bCs/>
        </w:rPr>
      </w:pPr>
      <w:bookmarkStart w:id="94" w:name="_Toc507936041"/>
      <w:bookmarkStart w:id="95" w:name="_Toc506105849"/>
      <w:r>
        <w:rPr>
          <w:rStyle w:val="96"/>
          <w:rFonts w:hint="eastAsia"/>
          <w:b/>
          <w:bCs/>
        </w:rPr>
        <w:t>6.</w:t>
      </w:r>
      <w:bookmarkEnd w:id="94"/>
      <w:bookmarkEnd w:id="95"/>
      <w:r>
        <w:rPr>
          <w:rStyle w:val="96"/>
          <w:rFonts w:hint="eastAsia"/>
          <w:b/>
          <w:bCs/>
        </w:rPr>
        <w:t>评标</w:t>
      </w:r>
    </w:p>
    <w:p w14:paraId="2CFD3288">
      <w:pPr>
        <w:pStyle w:val="59"/>
      </w:pPr>
      <w:bookmarkStart w:id="96" w:name="_Toc506105850"/>
      <w:bookmarkStart w:id="97" w:name="_Toc507936042"/>
      <w:r>
        <w:rPr>
          <w:rFonts w:hint="eastAsia"/>
        </w:rPr>
        <w:t>6.1 评标委员会</w:t>
      </w:r>
      <w:bookmarkEnd w:id="96"/>
      <w:bookmarkEnd w:id="97"/>
    </w:p>
    <w:p w14:paraId="1DBB915B">
      <w:pPr>
        <w:spacing w:line="360" w:lineRule="auto"/>
        <w:ind w:firstLine="480" w:firstLineChars="200"/>
        <w:rPr>
          <w:rFonts w:cs="仿宋"/>
        </w:rPr>
      </w:pPr>
      <w:r>
        <w:rPr>
          <w:rFonts w:hint="eastAsia" w:cs="仿宋"/>
        </w:rPr>
        <w:t>评标由招标人依法组建的评标委员会负责。评标委员会由招标人熟悉相关业务的代表，以及有关技术、经济等方面的专家组成，评标委员会成员人数为5人及以上单数。</w:t>
      </w:r>
    </w:p>
    <w:p w14:paraId="7ED38F77">
      <w:pPr>
        <w:pStyle w:val="59"/>
      </w:pPr>
      <w:bookmarkStart w:id="98" w:name="_Toc507936043"/>
      <w:bookmarkStart w:id="99" w:name="_Toc506105851"/>
      <w:r>
        <w:rPr>
          <w:rFonts w:hint="eastAsia"/>
        </w:rPr>
        <w:t>6.2 评标原则</w:t>
      </w:r>
      <w:bookmarkEnd w:id="98"/>
      <w:bookmarkEnd w:id="99"/>
    </w:p>
    <w:p w14:paraId="5DDF9352">
      <w:pPr>
        <w:pStyle w:val="57"/>
        <w:spacing w:before="156"/>
        <w:jc w:val="both"/>
        <w:rPr>
          <w:rFonts w:hint="eastAsia" w:ascii="宋体" w:hAnsi="宋体" w:eastAsia="宋体" w:cs="仿宋"/>
          <w:b w:val="0"/>
          <w:kern w:val="0"/>
          <w:sz w:val="24"/>
          <w:szCs w:val="24"/>
        </w:rPr>
      </w:pPr>
      <w:r>
        <w:rPr>
          <w:rFonts w:hint="eastAsia" w:ascii="宋体" w:hAnsi="宋体" w:eastAsia="宋体" w:cs="仿宋"/>
          <w:b w:val="0"/>
          <w:kern w:val="0"/>
          <w:sz w:val="24"/>
          <w:szCs w:val="24"/>
        </w:rPr>
        <w:t>评标活动遵循公平、公正、科学和择优的原则。</w:t>
      </w:r>
    </w:p>
    <w:p w14:paraId="5CC2DFCA">
      <w:pPr>
        <w:pStyle w:val="59"/>
      </w:pPr>
      <w:bookmarkStart w:id="100" w:name="_Toc506105852"/>
      <w:bookmarkStart w:id="101" w:name="_Toc507936044"/>
      <w:r>
        <w:rPr>
          <w:rFonts w:hint="eastAsia"/>
        </w:rPr>
        <w:t>6.3 评标方法</w:t>
      </w:r>
      <w:bookmarkEnd w:id="100"/>
      <w:bookmarkEnd w:id="101"/>
    </w:p>
    <w:p w14:paraId="6B37B937">
      <w:pPr>
        <w:pStyle w:val="57"/>
        <w:spacing w:before="156"/>
        <w:jc w:val="both"/>
        <w:rPr>
          <w:rFonts w:hint="eastAsia" w:ascii="宋体" w:hAnsi="宋体" w:eastAsia="宋体" w:cs="仿宋"/>
          <w:b w:val="0"/>
          <w:kern w:val="0"/>
          <w:sz w:val="24"/>
          <w:szCs w:val="24"/>
        </w:rPr>
      </w:pPr>
      <w:bookmarkStart w:id="102" w:name="_Toc506886218"/>
      <w:r>
        <w:rPr>
          <w:rFonts w:hint="eastAsia" w:ascii="宋体" w:hAnsi="宋体" w:eastAsia="宋体" w:cs="仿宋"/>
          <w:b w:val="0"/>
          <w:kern w:val="0"/>
          <w:sz w:val="24"/>
          <w:szCs w:val="24"/>
        </w:rPr>
        <w:t xml:space="preserve">    按综合评标法进行评标。</w:t>
      </w:r>
      <w:bookmarkEnd w:id="102"/>
    </w:p>
    <w:p w14:paraId="7D0B7831">
      <w:pPr>
        <w:pStyle w:val="59"/>
      </w:pPr>
      <w:bookmarkStart w:id="103" w:name="_Toc506105853"/>
      <w:bookmarkStart w:id="104" w:name="_Toc507936045"/>
      <w:r>
        <w:rPr>
          <w:rFonts w:hint="eastAsia"/>
        </w:rPr>
        <w:t>6.4 评标程序及内容</w:t>
      </w:r>
      <w:bookmarkEnd w:id="103"/>
      <w:bookmarkEnd w:id="104"/>
    </w:p>
    <w:p w14:paraId="13D49B6F">
      <w:pPr>
        <w:spacing w:line="360" w:lineRule="auto"/>
        <w:ind w:firstLine="480" w:firstLineChars="200"/>
        <w:rPr>
          <w:rFonts w:hint="eastAsia" w:cs="仿宋"/>
        </w:rPr>
      </w:pPr>
      <w:r>
        <w:rPr>
          <w:rFonts w:hint="eastAsia" w:cs="仿宋"/>
        </w:rPr>
        <w:t>6.4.1投标文件初步评标</w:t>
      </w:r>
    </w:p>
    <w:p w14:paraId="0D13B17E">
      <w:pPr>
        <w:spacing w:line="360" w:lineRule="auto"/>
        <w:ind w:firstLine="480" w:firstLineChars="200"/>
        <w:rPr>
          <w:rFonts w:cs="仿宋"/>
        </w:rPr>
      </w:pPr>
      <w:r>
        <w:rPr>
          <w:rFonts w:hint="eastAsia" w:cs="仿宋"/>
        </w:rPr>
        <w:t>6.4.1.1资格审查---是否满足对投标人的资格要求。</w:t>
      </w:r>
    </w:p>
    <w:p w14:paraId="3418B009">
      <w:pPr>
        <w:spacing w:line="360" w:lineRule="auto"/>
        <w:ind w:firstLine="480" w:firstLineChars="200"/>
        <w:rPr>
          <w:rFonts w:cs="仿宋"/>
        </w:rPr>
      </w:pPr>
      <w:r>
        <w:rPr>
          <w:rFonts w:hint="eastAsia" w:cs="仿宋"/>
        </w:rPr>
        <w:t>6.4.1.2报价及报价组成表有计算或汇总错误时，按以下原则修正：</w:t>
      </w:r>
    </w:p>
    <w:p w14:paraId="60620CC2">
      <w:pPr>
        <w:spacing w:line="360" w:lineRule="auto"/>
        <w:ind w:firstLine="480" w:firstLineChars="200"/>
        <w:rPr>
          <w:rFonts w:cs="仿宋"/>
        </w:rPr>
      </w:pPr>
      <w:r>
        <w:rPr>
          <w:rFonts w:hint="eastAsia" w:cs="仿宋"/>
        </w:rPr>
        <w:t>（1）报价清单中的单价乘数量的乘积与该项目的合价不符时，应以单价为准，改正合价。</w:t>
      </w:r>
    </w:p>
    <w:p w14:paraId="3BA66059">
      <w:pPr>
        <w:spacing w:line="360" w:lineRule="auto"/>
        <w:ind w:firstLine="480" w:firstLineChars="200"/>
        <w:rPr>
          <w:rFonts w:cs="仿宋"/>
        </w:rPr>
      </w:pPr>
      <w:r>
        <w:rPr>
          <w:rFonts w:hint="eastAsia" w:cs="仿宋"/>
        </w:rPr>
        <w:t>（2）若报价汇总表中的金额与相应的各分项报价清单中的合计金额不符时，以修正后的各分项报价清单中的合计金额为准，改正总报价。</w:t>
      </w:r>
    </w:p>
    <w:p w14:paraId="456AFF19">
      <w:pPr>
        <w:spacing w:line="360" w:lineRule="auto"/>
        <w:ind w:firstLine="480" w:firstLineChars="200"/>
        <w:rPr>
          <w:rFonts w:cs="仿宋"/>
        </w:rPr>
      </w:pPr>
      <w:r>
        <w:rPr>
          <w:rFonts w:hint="eastAsia" w:cs="仿宋"/>
        </w:rPr>
        <w:t>（3）评标委员会按以上原则对报价进行修正，修正的价格经投标人书面确认后具有约束力。</w:t>
      </w:r>
    </w:p>
    <w:p w14:paraId="7AEC6BA0">
      <w:pPr>
        <w:spacing w:line="360" w:lineRule="auto"/>
        <w:ind w:firstLine="480" w:firstLineChars="200"/>
        <w:rPr>
          <w:rFonts w:cs="仿宋"/>
        </w:rPr>
      </w:pPr>
      <w:r>
        <w:rPr>
          <w:rFonts w:hint="eastAsia" w:cs="仿宋"/>
        </w:rPr>
        <w:t>6.4.1.3对需要文件进行审查，有以下情形之一的，为重大偏差，其投标文件符合性审查不通过</w:t>
      </w:r>
      <w:r>
        <w:rPr>
          <w:rFonts w:hint="eastAsia" w:cs="仿宋"/>
          <w:bCs/>
        </w:rPr>
        <w:t>作无效处理</w:t>
      </w:r>
      <w:r>
        <w:rPr>
          <w:rFonts w:hint="eastAsia" w:cs="仿宋"/>
        </w:rPr>
        <w:t>，不再进行详细评标：</w:t>
      </w:r>
    </w:p>
    <w:p w14:paraId="17BBF1F8">
      <w:pPr>
        <w:spacing w:line="360" w:lineRule="auto"/>
        <w:ind w:firstLine="480" w:firstLineChars="200"/>
        <w:rPr>
          <w:rFonts w:cs="仿宋"/>
          <w:bCs/>
        </w:rPr>
      </w:pPr>
      <w:r>
        <w:rPr>
          <w:rFonts w:hint="eastAsia" w:cs="仿宋"/>
          <w:bCs/>
        </w:rPr>
        <w:t>（1）提供的资格审查资料不满足招标文件要求的；</w:t>
      </w:r>
    </w:p>
    <w:p w14:paraId="0427F5D3">
      <w:pPr>
        <w:spacing w:line="360" w:lineRule="auto"/>
        <w:ind w:firstLine="480" w:firstLineChars="200"/>
        <w:rPr>
          <w:rFonts w:cs="仿宋"/>
          <w:bCs/>
        </w:rPr>
      </w:pPr>
      <w:r>
        <w:rPr>
          <w:rFonts w:hint="eastAsia" w:cs="仿宋"/>
          <w:bCs/>
        </w:rPr>
        <w:t>（2）没有按照招标文件要求缴纳投标保证金或提供银行保函的；</w:t>
      </w:r>
    </w:p>
    <w:p w14:paraId="4DDDDAED">
      <w:pPr>
        <w:spacing w:line="360" w:lineRule="auto"/>
        <w:ind w:firstLine="480" w:firstLineChars="200"/>
        <w:rPr>
          <w:rFonts w:cs="仿宋"/>
          <w:bCs/>
        </w:rPr>
      </w:pPr>
      <w:r>
        <w:rPr>
          <w:rFonts w:hint="eastAsia" w:cs="仿宋"/>
          <w:bCs/>
        </w:rPr>
        <w:t>（3）投标文件未按招标文件要求盖章和签署的；</w:t>
      </w:r>
    </w:p>
    <w:p w14:paraId="59BDFA6F">
      <w:pPr>
        <w:spacing w:line="360" w:lineRule="auto"/>
        <w:ind w:firstLine="480" w:firstLineChars="200"/>
        <w:rPr>
          <w:rFonts w:cs="仿宋"/>
          <w:bCs/>
        </w:rPr>
      </w:pPr>
      <w:r>
        <w:rPr>
          <w:rFonts w:hint="eastAsia" w:cs="仿宋"/>
          <w:bCs/>
        </w:rPr>
        <w:t>（4）经澄清，对报价的错误不接受修正的；</w:t>
      </w:r>
    </w:p>
    <w:p w14:paraId="79AA1919">
      <w:pPr>
        <w:spacing w:line="360" w:lineRule="auto"/>
        <w:ind w:firstLine="480" w:firstLineChars="200"/>
        <w:rPr>
          <w:rFonts w:cs="仿宋"/>
          <w:bCs/>
        </w:rPr>
      </w:pPr>
      <w:r>
        <w:rPr>
          <w:rFonts w:hint="eastAsia" w:cs="仿宋"/>
          <w:bCs/>
        </w:rPr>
        <w:t>（5）对招标范围和工作内容有实质性偏差的；</w:t>
      </w:r>
    </w:p>
    <w:p w14:paraId="4007E935">
      <w:pPr>
        <w:spacing w:line="360" w:lineRule="auto"/>
        <w:ind w:firstLine="480" w:firstLineChars="200"/>
        <w:rPr>
          <w:rFonts w:cs="仿宋"/>
          <w:bCs/>
        </w:rPr>
      </w:pPr>
      <w:r>
        <w:rPr>
          <w:rFonts w:hint="eastAsia" w:cs="仿宋"/>
          <w:bCs/>
        </w:rPr>
        <w:t>（6）主要性能指标达不到招标文件要求的</w:t>
      </w:r>
    </w:p>
    <w:p w14:paraId="7EBEBFD0">
      <w:pPr>
        <w:spacing w:line="360" w:lineRule="auto"/>
        <w:ind w:firstLine="480" w:firstLineChars="200"/>
        <w:rPr>
          <w:rFonts w:cs="仿宋"/>
          <w:bCs/>
        </w:rPr>
      </w:pPr>
      <w:r>
        <w:rPr>
          <w:rFonts w:hint="eastAsia" w:cs="仿宋"/>
          <w:bCs/>
        </w:rPr>
        <w:t>（7））有违反法律法规、弄虚作假的。</w:t>
      </w:r>
    </w:p>
    <w:p w14:paraId="08FF38C0">
      <w:pPr>
        <w:spacing w:line="360" w:lineRule="auto"/>
        <w:ind w:firstLine="480" w:firstLineChars="200"/>
        <w:rPr>
          <w:rFonts w:cs="仿宋"/>
        </w:rPr>
      </w:pPr>
      <w:r>
        <w:rPr>
          <w:rFonts w:hint="eastAsia" w:cs="仿宋"/>
        </w:rPr>
        <w:t>6.4.1.4投标文件澄清</w:t>
      </w:r>
    </w:p>
    <w:p w14:paraId="130CD979">
      <w:pPr>
        <w:spacing w:line="360" w:lineRule="auto"/>
        <w:ind w:firstLine="480" w:firstLineChars="200"/>
        <w:rPr>
          <w:rFonts w:cs="仿宋"/>
        </w:rPr>
      </w:pPr>
      <w:r>
        <w:rPr>
          <w:rFonts w:hint="eastAsia" w:cs="仿宋"/>
        </w:rPr>
        <w:t>（1）投标文件中有含义不明确的内容、明显文字或者计算错误，评标委员会认为需要投标人做出必要的澄清、说明、或者对细微偏差进行补正的，提出澄清问题。</w:t>
      </w:r>
    </w:p>
    <w:p w14:paraId="269174A0">
      <w:pPr>
        <w:spacing w:line="360" w:lineRule="auto"/>
        <w:ind w:firstLine="480" w:firstLineChars="200"/>
        <w:rPr>
          <w:rFonts w:cs="仿宋"/>
        </w:rPr>
      </w:pPr>
      <w:r>
        <w:rPr>
          <w:rFonts w:hint="eastAsia" w:cs="仿宋"/>
        </w:rPr>
        <w:t>（2）评标委员会的澄清问题不得要求或提出对投标文件实质性内容进行修改，澄清问题由评标委员会主任确认后发出。</w:t>
      </w:r>
    </w:p>
    <w:p w14:paraId="2CEF531F">
      <w:pPr>
        <w:spacing w:line="360" w:lineRule="auto"/>
        <w:ind w:firstLine="480" w:firstLineChars="200"/>
        <w:rPr>
          <w:rFonts w:cs="仿宋"/>
        </w:rPr>
      </w:pPr>
      <w:r>
        <w:rPr>
          <w:rFonts w:hint="eastAsia" w:cs="仿宋"/>
        </w:rPr>
        <w:t>（3）投标人的答复由其授权代表签字、加盖公章、签署日期后按要求发送，不得对原投标文件实质性内容进行修改，投标人的书面澄清、说明和补正属于投标文件的组成部分。</w:t>
      </w:r>
    </w:p>
    <w:p w14:paraId="152704AC">
      <w:pPr>
        <w:spacing w:line="360" w:lineRule="auto"/>
        <w:ind w:firstLine="480" w:firstLineChars="200"/>
        <w:rPr>
          <w:rFonts w:cs="仿宋"/>
        </w:rPr>
      </w:pPr>
      <w:r>
        <w:rPr>
          <w:rFonts w:hint="eastAsia" w:cs="仿宋"/>
        </w:rPr>
        <w:t>（4）评标委员会不接受投标人主动提出的澄清、说明。</w:t>
      </w:r>
    </w:p>
    <w:p w14:paraId="06DA0CEB">
      <w:pPr>
        <w:spacing w:line="360" w:lineRule="auto"/>
        <w:ind w:firstLine="480" w:firstLineChars="200"/>
        <w:rPr>
          <w:rFonts w:cs="仿宋"/>
        </w:rPr>
      </w:pPr>
      <w:r>
        <w:rPr>
          <w:rFonts w:hint="eastAsia" w:cs="仿宋"/>
        </w:rPr>
        <w:t>（5）评标委员会的澄清问题和投标人的答复均以书面方式进行。</w:t>
      </w:r>
    </w:p>
    <w:p w14:paraId="2CEDFDCF">
      <w:pPr>
        <w:spacing w:line="360" w:lineRule="auto"/>
        <w:ind w:firstLine="480" w:firstLineChars="200"/>
        <w:rPr>
          <w:rFonts w:hint="eastAsia" w:cs="仿宋"/>
        </w:rPr>
      </w:pPr>
      <w:r>
        <w:rPr>
          <w:rFonts w:hint="eastAsia" w:cs="仿宋"/>
        </w:rPr>
        <w:t>6.4.2投标文件详细评标</w:t>
      </w:r>
    </w:p>
    <w:p w14:paraId="6C703091">
      <w:pPr>
        <w:spacing w:line="360" w:lineRule="auto"/>
        <w:ind w:firstLine="480" w:firstLineChars="200"/>
        <w:rPr>
          <w:rFonts w:cs="仿宋"/>
        </w:rPr>
      </w:pPr>
      <w:r>
        <w:rPr>
          <w:rFonts w:hint="eastAsia" w:cs="仿宋"/>
        </w:rPr>
        <w:t>评标委员会成员对通过初步评标的投标文件进行详细评标与打分排序。</w:t>
      </w:r>
    </w:p>
    <w:p w14:paraId="582978A4">
      <w:pPr>
        <w:spacing w:line="360" w:lineRule="auto"/>
        <w:ind w:firstLine="480" w:firstLineChars="200"/>
        <w:rPr>
          <w:rFonts w:cs="仿宋"/>
        </w:rPr>
      </w:pPr>
      <w:r>
        <w:rPr>
          <w:rFonts w:hint="eastAsia" w:cs="仿宋"/>
        </w:rPr>
        <w:t>6.4.3评标结果</w:t>
      </w:r>
    </w:p>
    <w:p w14:paraId="3D1FB223">
      <w:pPr>
        <w:spacing w:line="360" w:lineRule="auto"/>
        <w:ind w:firstLine="480" w:firstLineChars="200"/>
        <w:rPr>
          <w:rFonts w:cs="仿宋"/>
        </w:rPr>
      </w:pPr>
      <w:r>
        <w:rPr>
          <w:rFonts w:hint="eastAsia" w:cs="仿宋"/>
        </w:rPr>
        <w:t>6.4.3.1评标委员会按照评标办法推荐中标候选人，具体的中标候选人数量见第三章5节2款。</w:t>
      </w:r>
    </w:p>
    <w:p w14:paraId="48CF1F15">
      <w:pPr>
        <w:spacing w:line="360" w:lineRule="auto"/>
        <w:ind w:firstLine="480" w:firstLineChars="200"/>
        <w:rPr>
          <w:rFonts w:cs="仿宋"/>
        </w:rPr>
      </w:pPr>
      <w:r>
        <w:rPr>
          <w:rFonts w:hint="eastAsia" w:cs="仿宋"/>
        </w:rPr>
        <w:t>6.4.3.2评标委员会完成评标后，向招标人提交评标报告。</w:t>
      </w:r>
    </w:p>
    <w:p w14:paraId="2737AEE0">
      <w:pPr>
        <w:pStyle w:val="64"/>
        <w:rPr>
          <w:rStyle w:val="96"/>
          <w:b/>
          <w:bCs/>
        </w:rPr>
      </w:pPr>
      <w:bookmarkStart w:id="105" w:name="_Toc507936046"/>
      <w:bookmarkStart w:id="106" w:name="_Toc506105854"/>
      <w:r>
        <w:rPr>
          <w:rStyle w:val="96"/>
          <w:rFonts w:hint="eastAsia"/>
          <w:b/>
          <w:bCs/>
        </w:rPr>
        <w:t>7.合同授予</w:t>
      </w:r>
      <w:bookmarkEnd w:id="105"/>
      <w:bookmarkEnd w:id="106"/>
    </w:p>
    <w:p w14:paraId="112A98D1">
      <w:pPr>
        <w:spacing w:line="360" w:lineRule="auto"/>
        <w:ind w:firstLine="480" w:firstLineChars="200"/>
        <w:rPr>
          <w:rFonts w:hint="eastAsia" w:cs="仿宋"/>
        </w:rPr>
      </w:pPr>
      <w:r>
        <w:rPr>
          <w:rFonts w:hint="eastAsia" w:cs="仿宋"/>
        </w:rPr>
        <w:t>7.1中标候选人履约能力审查</w:t>
      </w:r>
    </w:p>
    <w:p w14:paraId="5952444C">
      <w:pPr>
        <w:spacing w:line="360" w:lineRule="auto"/>
        <w:ind w:firstLine="480" w:firstLineChars="200"/>
        <w:rPr>
          <w:rFonts w:hint="eastAsia" w:cs="仿宋"/>
        </w:rPr>
      </w:pPr>
      <w:r>
        <w:rPr>
          <w:rFonts w:hint="eastAsia" w:cs="仿宋"/>
        </w:rPr>
        <w:t>中标候选人的经营、财务状况发生较大变化或存在违法行为，招标人认为可能影响其履约能力的，将在发出中标通知书前提请原评标委员会按照招标文件规定的标准和方法进行审查确认。</w:t>
      </w:r>
    </w:p>
    <w:p w14:paraId="0083949A">
      <w:pPr>
        <w:spacing w:line="360" w:lineRule="auto"/>
        <w:ind w:firstLine="480" w:firstLineChars="200"/>
        <w:rPr>
          <w:rFonts w:hint="eastAsia" w:cs="仿宋"/>
        </w:rPr>
      </w:pPr>
      <w:r>
        <w:rPr>
          <w:rFonts w:hint="eastAsia" w:cs="仿宋"/>
        </w:rPr>
        <w:t>7.2评标结果异议</w:t>
      </w:r>
    </w:p>
    <w:p w14:paraId="77411E4C">
      <w:pPr>
        <w:spacing w:line="360" w:lineRule="auto"/>
        <w:ind w:firstLine="480" w:firstLineChars="200"/>
        <w:rPr>
          <w:rFonts w:hint="eastAsia" w:cs="仿宋"/>
        </w:rPr>
      </w:pPr>
      <w:r>
        <w:rPr>
          <w:rFonts w:hint="eastAsia" w:cs="仿宋"/>
        </w:rPr>
        <w:t>投标人或者其他利害关系人对评标结果有异议的，应当在中标候选人公示期间提出。招标人将在收到异议之日起3日内作出答复。</w:t>
      </w:r>
    </w:p>
    <w:p w14:paraId="774D9F90">
      <w:pPr>
        <w:spacing w:line="360" w:lineRule="auto"/>
        <w:ind w:firstLine="480" w:firstLineChars="200"/>
        <w:rPr>
          <w:rFonts w:hint="eastAsia" w:cs="仿宋"/>
        </w:rPr>
      </w:pPr>
      <w:r>
        <w:rPr>
          <w:rFonts w:hint="eastAsia" w:cs="仿宋"/>
        </w:rPr>
        <w:t>7.3定标</w:t>
      </w:r>
    </w:p>
    <w:p w14:paraId="29EEE94A">
      <w:pPr>
        <w:spacing w:line="360" w:lineRule="auto"/>
        <w:ind w:firstLine="480" w:firstLineChars="200"/>
        <w:rPr>
          <w:rFonts w:hint="eastAsia" w:cs="仿宋"/>
        </w:rPr>
      </w:pPr>
      <w:r>
        <w:rPr>
          <w:rFonts w:hint="eastAsia" w:cs="仿宋"/>
        </w:rPr>
        <w:t>按照投标人须知前附表的规定，招标人或招标人授权的评标委员会依法确定中标人。</w:t>
      </w:r>
    </w:p>
    <w:p w14:paraId="6DC220D8">
      <w:pPr>
        <w:spacing w:line="360" w:lineRule="auto"/>
        <w:ind w:firstLine="480" w:firstLineChars="200"/>
        <w:rPr>
          <w:rFonts w:hint="eastAsia" w:cs="仿宋"/>
        </w:rPr>
      </w:pPr>
      <w:r>
        <w:rPr>
          <w:rFonts w:hint="eastAsia" w:cs="仿宋"/>
        </w:rPr>
        <w:t>7.4中标通知</w:t>
      </w:r>
    </w:p>
    <w:p w14:paraId="499E21C1">
      <w:pPr>
        <w:spacing w:line="360" w:lineRule="auto"/>
        <w:ind w:firstLine="480" w:firstLineChars="200"/>
        <w:rPr>
          <w:rFonts w:hint="eastAsia" w:cs="仿宋"/>
        </w:rPr>
      </w:pPr>
      <w:r>
        <w:rPr>
          <w:rFonts w:hint="eastAsia" w:cs="仿宋"/>
        </w:rPr>
        <w:t>在本章第3.3款规定的投标有效期内，中标结果通过</w:t>
      </w:r>
      <w:r>
        <w:rPr>
          <w:rFonts w:hint="eastAsia"/>
        </w:rPr>
        <w:t>济钢集团有限公司阳光购销平台（网址：</w:t>
      </w:r>
      <w:r>
        <w:rPr>
          <w:rFonts w:hint="eastAsia"/>
        </w:rPr>
        <w:fldChar w:fldCharType="begin"/>
      </w:r>
      <w:r>
        <w:rPr>
          <w:rFonts w:hint="eastAsia"/>
        </w:rPr>
        <w:instrText xml:space="preserve"> HYPERLINK "http://bidding.jigang.com.cn" </w:instrText>
      </w:r>
      <w:r>
        <w:rPr>
          <w:rFonts w:hint="eastAsia"/>
        </w:rPr>
        <w:fldChar w:fldCharType="separate"/>
      </w:r>
      <w:r>
        <w:rPr>
          <w:rFonts w:hint="eastAsia"/>
        </w:rPr>
        <w:t>http://bidding.jigang.com.cn</w:t>
      </w:r>
      <w:r>
        <w:rPr>
          <w:rFonts w:hint="eastAsia"/>
        </w:rPr>
        <w:fldChar w:fldCharType="end"/>
      </w:r>
      <w:r>
        <w:rPr>
          <w:rFonts w:hint="eastAsia"/>
        </w:rPr>
        <w:t xml:space="preserve">/） </w:t>
      </w:r>
      <w:r>
        <w:rPr>
          <w:rFonts w:hint="eastAsia" w:cs="仿宋"/>
        </w:rPr>
        <w:t>公示三天。公示期结束后，招标人以书面形式向中标人发出中标通知书。</w:t>
      </w:r>
    </w:p>
    <w:p w14:paraId="14239F13">
      <w:pPr>
        <w:spacing w:line="360" w:lineRule="auto"/>
        <w:ind w:firstLine="480" w:firstLineChars="200"/>
        <w:rPr>
          <w:rFonts w:hint="eastAsia" w:cs="仿宋"/>
        </w:rPr>
      </w:pPr>
      <w:r>
        <w:rPr>
          <w:rFonts w:hint="eastAsia" w:cs="仿宋"/>
        </w:rPr>
        <w:t>7.5履约保证金</w:t>
      </w:r>
    </w:p>
    <w:p w14:paraId="45E30A92">
      <w:pPr>
        <w:spacing w:line="360" w:lineRule="auto"/>
        <w:ind w:firstLine="480" w:firstLineChars="200"/>
        <w:rPr>
          <w:rFonts w:hint="eastAsia" w:cs="仿宋"/>
        </w:rPr>
      </w:pPr>
      <w:r>
        <w:rPr>
          <w:rFonts w:hint="eastAsia" w:cs="仿宋"/>
        </w:rPr>
        <w:t>7.5.1在签订合同前，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14:paraId="5D47233E">
      <w:pPr>
        <w:spacing w:line="360" w:lineRule="auto"/>
        <w:ind w:firstLine="480" w:firstLineChars="200"/>
        <w:rPr>
          <w:rFonts w:hint="eastAsia" w:cs="仿宋"/>
        </w:rPr>
      </w:pPr>
      <w:r>
        <w:rPr>
          <w:rFonts w:hint="eastAsia" w:cs="仿宋"/>
        </w:rPr>
        <w:t>7.5.2中标人不能按本章第7.5.1项要求提交履约保证金的，视为放弃中标，其投标保证金不予退还，给招标人造成的损失超过投标保证金数额的，中标人还应当对超过部分予以赔偿。</w:t>
      </w:r>
    </w:p>
    <w:p w14:paraId="73CA813D">
      <w:pPr>
        <w:spacing w:line="360" w:lineRule="auto"/>
        <w:ind w:firstLine="480" w:firstLineChars="200"/>
        <w:rPr>
          <w:rFonts w:hint="eastAsia" w:cs="仿宋"/>
        </w:rPr>
      </w:pPr>
      <w:r>
        <w:rPr>
          <w:rFonts w:hint="eastAsia" w:cs="仿宋"/>
        </w:rPr>
        <w:t>7.6 中标服务费：见投标人须知前附表。</w:t>
      </w:r>
    </w:p>
    <w:p w14:paraId="2A8ED1CE">
      <w:pPr>
        <w:spacing w:line="360" w:lineRule="auto"/>
        <w:ind w:firstLine="480" w:firstLineChars="200"/>
        <w:rPr>
          <w:rFonts w:hint="eastAsia" w:cs="仿宋"/>
        </w:rPr>
      </w:pPr>
      <w:r>
        <w:rPr>
          <w:rFonts w:hint="eastAsia" w:cs="仿宋"/>
        </w:rPr>
        <w:t>7.7签订合同</w:t>
      </w:r>
    </w:p>
    <w:p w14:paraId="2FCC65CC">
      <w:pPr>
        <w:spacing w:line="360" w:lineRule="auto"/>
        <w:ind w:firstLine="480" w:firstLineChars="200"/>
        <w:rPr>
          <w:rFonts w:hint="eastAsia" w:cs="仿宋"/>
        </w:rPr>
      </w:pPr>
      <w:r>
        <w:rPr>
          <w:rFonts w:hint="eastAsia" w:cs="仿宋"/>
        </w:rPr>
        <w:t>7.7.1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655D57A">
      <w:pPr>
        <w:spacing w:line="360" w:lineRule="auto"/>
        <w:ind w:firstLine="480" w:firstLineChars="200"/>
        <w:rPr>
          <w:rFonts w:hint="eastAsia" w:cs="仿宋"/>
        </w:rPr>
      </w:pPr>
      <w:r>
        <w:rPr>
          <w:rFonts w:hint="eastAsia" w:cs="仿宋"/>
        </w:rPr>
        <w:t>7.7.2发出中标通知书后，招标人无正当理由拒签合同，或者在签订合同时向中标人提出附加条件的，招标人向中标人退还投标保证金；给中标人造成损失的，还应当赔偿损失。</w:t>
      </w:r>
    </w:p>
    <w:p w14:paraId="6107C9E7">
      <w:pPr>
        <w:pStyle w:val="64"/>
        <w:rPr>
          <w:rStyle w:val="96"/>
          <w:rFonts w:hint="eastAsia"/>
          <w:b/>
          <w:bCs/>
        </w:rPr>
      </w:pPr>
      <w:bookmarkStart w:id="107" w:name="_Toc506105859"/>
      <w:bookmarkStart w:id="108" w:name="_Toc507936051"/>
      <w:r>
        <w:rPr>
          <w:rStyle w:val="96"/>
          <w:rFonts w:hint="eastAsia"/>
          <w:b/>
          <w:bCs/>
        </w:rPr>
        <w:t>8.重新</w:t>
      </w:r>
      <w:bookmarkEnd w:id="107"/>
      <w:bookmarkEnd w:id="108"/>
      <w:bookmarkStart w:id="109" w:name="_Toc506105860"/>
      <w:r>
        <w:rPr>
          <w:rStyle w:val="96"/>
          <w:rFonts w:hint="eastAsia"/>
          <w:b/>
          <w:bCs/>
        </w:rPr>
        <w:t>招标</w:t>
      </w:r>
    </w:p>
    <w:bookmarkEnd w:id="109"/>
    <w:p w14:paraId="1F66849E">
      <w:pPr>
        <w:pStyle w:val="59"/>
        <w:rPr>
          <w:rFonts w:hint="eastAsia"/>
        </w:rPr>
      </w:pPr>
      <w:bookmarkStart w:id="110" w:name="_Toc507936052"/>
      <w:r>
        <w:rPr>
          <w:rFonts w:hint="eastAsia"/>
        </w:rPr>
        <w:t>8.1重新</w:t>
      </w:r>
      <w:bookmarkEnd w:id="110"/>
      <w:r>
        <w:rPr>
          <w:rFonts w:hint="eastAsia"/>
        </w:rPr>
        <w:t>招标</w:t>
      </w:r>
    </w:p>
    <w:p w14:paraId="46A7F361">
      <w:pPr>
        <w:spacing w:line="360" w:lineRule="auto"/>
        <w:rPr>
          <w:rFonts w:cs="仿宋"/>
          <w:sz w:val="28"/>
          <w:szCs w:val="28"/>
        </w:rPr>
      </w:pPr>
      <w:r>
        <w:rPr>
          <w:rFonts w:hint="eastAsia" w:cs="仿宋"/>
        </w:rPr>
        <w:t>详见投标人须知前附表</w:t>
      </w:r>
    </w:p>
    <w:p w14:paraId="0854DEF7">
      <w:pPr>
        <w:pStyle w:val="64"/>
        <w:rPr>
          <w:rStyle w:val="96"/>
          <w:b/>
          <w:bCs/>
        </w:rPr>
      </w:pPr>
      <w:bookmarkStart w:id="111" w:name="_Toc144974542"/>
      <w:bookmarkStart w:id="112" w:name="_Toc152042350"/>
      <w:bookmarkStart w:id="113" w:name="_Toc269310962"/>
      <w:bookmarkStart w:id="114" w:name="_Toc312072272"/>
      <w:bookmarkStart w:id="115" w:name="_Toc152045574"/>
      <w:bookmarkStart w:id="116" w:name="_Toc507936053"/>
      <w:bookmarkStart w:id="117" w:name="_Toc446434333"/>
      <w:r>
        <w:rPr>
          <w:rStyle w:val="96"/>
          <w:b/>
          <w:bCs/>
        </w:rPr>
        <w:t xml:space="preserve">9. </w:t>
      </w:r>
      <w:r>
        <w:rPr>
          <w:rStyle w:val="96"/>
          <w:rFonts w:hint="eastAsia"/>
          <w:b/>
          <w:bCs/>
        </w:rPr>
        <w:t>纪律和监督</w:t>
      </w:r>
      <w:bookmarkEnd w:id="111"/>
      <w:bookmarkEnd w:id="112"/>
      <w:bookmarkEnd w:id="113"/>
      <w:bookmarkEnd w:id="114"/>
      <w:bookmarkEnd w:id="115"/>
      <w:bookmarkEnd w:id="116"/>
      <w:bookmarkEnd w:id="117"/>
    </w:p>
    <w:p w14:paraId="53FFA857">
      <w:pPr>
        <w:pStyle w:val="59"/>
        <w:rPr>
          <w:rFonts w:hint="eastAsia"/>
        </w:rPr>
      </w:pPr>
      <w:bookmarkStart w:id="118" w:name="_Toc507936054"/>
      <w:bookmarkStart w:id="119" w:name="_Toc269310968"/>
      <w:bookmarkStart w:id="120" w:name="_Toc152042357"/>
      <w:bookmarkStart w:id="121" w:name="_Toc144974547"/>
      <w:bookmarkStart w:id="122" w:name="_Toc152045580"/>
      <w:r>
        <w:rPr>
          <w:rFonts w:hint="eastAsia"/>
        </w:rPr>
        <w:t>9.1对招标人的纪律要求</w:t>
      </w:r>
      <w:bookmarkEnd w:id="118"/>
    </w:p>
    <w:p w14:paraId="5505F97F">
      <w:pPr>
        <w:spacing w:line="400" w:lineRule="exact"/>
        <w:ind w:firstLine="480" w:firstLineChars="200"/>
      </w:pPr>
      <w:r>
        <w:rPr>
          <w:rFonts w:hint="eastAsia"/>
        </w:rPr>
        <w:t>招标人不得泄漏招标活动中应当保密的情况和资料，不得与投标人串通损害国家利益、社会公共利益和他人合法权益。</w:t>
      </w:r>
    </w:p>
    <w:p w14:paraId="403BECAD">
      <w:pPr>
        <w:pStyle w:val="59"/>
        <w:rPr>
          <w:rFonts w:hint="eastAsia"/>
        </w:rPr>
      </w:pPr>
      <w:bookmarkStart w:id="123" w:name="_Toc507936055"/>
      <w:r>
        <w:rPr>
          <w:rFonts w:hint="eastAsia"/>
        </w:rPr>
        <w:t>9.2对投标人的纪律要求</w:t>
      </w:r>
      <w:bookmarkEnd w:id="123"/>
    </w:p>
    <w:p w14:paraId="11A6269F">
      <w:pPr>
        <w:spacing w:line="400" w:lineRule="exact"/>
        <w:ind w:firstLine="480" w:firstLineChars="200"/>
      </w:pPr>
      <w:r>
        <w:rPr>
          <w:rFonts w:hint="eastAsia"/>
        </w:rPr>
        <w:t>投标人不得相互串通或者与招标人串通，不得向招标人或者评标委员会成员行贿谋取</w:t>
      </w:r>
      <w:r>
        <w:rPr>
          <w:rFonts w:hint="eastAsia" w:cs="仿宋"/>
        </w:rPr>
        <w:t>中标</w:t>
      </w:r>
      <w:r>
        <w:rPr>
          <w:rFonts w:hint="eastAsia"/>
        </w:rPr>
        <w:t>，不得以他人名义参加招标或者以其他方式弄虚作假骗取</w:t>
      </w:r>
      <w:r>
        <w:rPr>
          <w:rFonts w:hint="eastAsia" w:cs="仿宋"/>
        </w:rPr>
        <w:t>中标</w:t>
      </w:r>
      <w:r>
        <w:rPr>
          <w:rFonts w:hint="eastAsia"/>
        </w:rPr>
        <w:t>；投标人不得以任何方式干扰、影响评标工作。</w:t>
      </w:r>
    </w:p>
    <w:p w14:paraId="583F4C0C">
      <w:pPr>
        <w:pStyle w:val="59"/>
      </w:pPr>
      <w:bookmarkStart w:id="124" w:name="_Toc312072275"/>
      <w:bookmarkStart w:id="125" w:name="_Toc446434336"/>
      <w:bookmarkStart w:id="126" w:name="_Toc507936056"/>
      <w:r>
        <w:t xml:space="preserve">9.3 </w:t>
      </w:r>
      <w:r>
        <w:rPr>
          <w:rFonts w:hint="eastAsia"/>
        </w:rPr>
        <w:t>对评标委员会成员的纪律要求</w:t>
      </w:r>
      <w:bookmarkEnd w:id="124"/>
      <w:bookmarkEnd w:id="125"/>
      <w:bookmarkEnd w:id="126"/>
    </w:p>
    <w:p w14:paraId="6CA22676">
      <w:pPr>
        <w:spacing w:line="400" w:lineRule="exact"/>
        <w:ind w:firstLine="480" w:firstLineChars="200"/>
      </w:pPr>
      <w:r>
        <w:rPr>
          <w:rFonts w:hint="eastAsia"/>
        </w:rPr>
        <w:t>评标委员会成员不得收受他人的财物或者其他好处，不得向他人透漏对投标文件的评标和比较、中标候选人的推荐情况以及与评标有关的其他情况。在评标活动中，评标委员会成员不得擅离职守，影响评标程序正常进行，不得使用第三章“评标办法”没有规定的评标因素和标准进行评标。</w:t>
      </w:r>
    </w:p>
    <w:p w14:paraId="69C37B55">
      <w:pPr>
        <w:pStyle w:val="59"/>
      </w:pPr>
      <w:bookmarkStart w:id="127" w:name="_Toc312072276"/>
      <w:bookmarkStart w:id="128" w:name="_Toc446434337"/>
      <w:bookmarkStart w:id="129" w:name="_Toc507936057"/>
      <w:r>
        <w:t xml:space="preserve">9.4 </w:t>
      </w:r>
      <w:r>
        <w:rPr>
          <w:rFonts w:hint="eastAsia"/>
        </w:rPr>
        <w:t>对与评标活动有关的工作人员的纪律要求</w:t>
      </w:r>
      <w:bookmarkEnd w:id="127"/>
      <w:bookmarkEnd w:id="128"/>
      <w:bookmarkEnd w:id="129"/>
    </w:p>
    <w:p w14:paraId="24A9A2AE">
      <w:pPr>
        <w:spacing w:line="400" w:lineRule="exact"/>
        <w:ind w:firstLine="480" w:firstLineChars="200"/>
      </w:pPr>
      <w:r>
        <w:rPr>
          <w:rFonts w:hint="eastAsia"/>
        </w:rPr>
        <w:t>与评标活动有关的工作人员不得收受他人的财物或者其他好处，不得向他人透漏对投标文件的评标和比较、</w:t>
      </w:r>
      <w:r>
        <w:rPr>
          <w:rFonts w:hint="eastAsia" w:cs="仿宋"/>
        </w:rPr>
        <w:t>中标</w:t>
      </w:r>
      <w:r>
        <w:rPr>
          <w:rFonts w:hint="eastAsia"/>
        </w:rPr>
        <w:t>候选人的推荐情况以及与评标有关的其他情况。在评标活动中，与评标活动有关的工作人员不得擅离职守，影响评标程序正常进行。</w:t>
      </w:r>
    </w:p>
    <w:p w14:paraId="1C6D96EC">
      <w:pPr>
        <w:pStyle w:val="59"/>
      </w:pPr>
      <w:bookmarkStart w:id="130" w:name="_Toc507936058"/>
      <w:bookmarkStart w:id="131" w:name="_Toc312072277"/>
      <w:bookmarkStart w:id="132" w:name="_Toc446434338"/>
      <w:r>
        <w:t xml:space="preserve">9.5 </w:t>
      </w:r>
      <w:r>
        <w:rPr>
          <w:rFonts w:hint="eastAsia"/>
        </w:rPr>
        <w:t>投诉</w:t>
      </w:r>
      <w:bookmarkEnd w:id="130"/>
      <w:bookmarkEnd w:id="131"/>
      <w:bookmarkEnd w:id="132"/>
    </w:p>
    <w:p w14:paraId="10B44F65">
      <w:pPr>
        <w:spacing w:line="400" w:lineRule="exact"/>
        <w:ind w:firstLine="480" w:firstLineChars="200"/>
      </w:pPr>
      <w:bookmarkStart w:id="133" w:name="_Toc312072278"/>
      <w:r>
        <w:rPr>
          <w:rFonts w:hint="eastAsia"/>
        </w:rPr>
        <w:t>投标人和其他利害关系人认为本次招标活动违反法律、法规和规章规定的，有权向市建设行政主管部门和相关监督部门投诉。</w:t>
      </w:r>
    </w:p>
    <w:p w14:paraId="2AAE87BD">
      <w:pPr>
        <w:pStyle w:val="59"/>
        <w:jc w:val="center"/>
        <w:rPr>
          <w:rStyle w:val="96"/>
          <w:b/>
          <w:bCs/>
        </w:rPr>
      </w:pPr>
      <w:bookmarkStart w:id="134" w:name="_Toc446434339"/>
      <w:bookmarkStart w:id="135" w:name="_Toc507936059"/>
      <w:r>
        <w:rPr>
          <w:rStyle w:val="96"/>
          <w:b/>
          <w:bCs/>
        </w:rPr>
        <w:t xml:space="preserve">10. </w:t>
      </w:r>
      <w:r>
        <w:rPr>
          <w:rStyle w:val="96"/>
          <w:rFonts w:hint="eastAsia"/>
          <w:b/>
          <w:bCs/>
        </w:rPr>
        <w:t>需要补充的其他内容</w:t>
      </w:r>
      <w:bookmarkEnd w:id="119"/>
      <w:bookmarkEnd w:id="120"/>
      <w:bookmarkEnd w:id="121"/>
      <w:bookmarkEnd w:id="122"/>
      <w:bookmarkEnd w:id="133"/>
      <w:bookmarkEnd w:id="134"/>
      <w:bookmarkEnd w:id="135"/>
    </w:p>
    <w:p w14:paraId="662E469F">
      <w:pPr>
        <w:spacing w:line="360" w:lineRule="auto"/>
        <w:rPr>
          <w:rFonts w:hint="eastAsia"/>
        </w:rPr>
      </w:pPr>
      <w:r>
        <w:rPr>
          <w:rFonts w:hint="eastAsia"/>
        </w:rPr>
        <w:t>10.1评委投票方式：见投标人须知前附表。</w:t>
      </w:r>
    </w:p>
    <w:p w14:paraId="48A0DA1F">
      <w:pPr>
        <w:spacing w:line="360" w:lineRule="auto"/>
        <w:rPr>
          <w:rFonts w:hint="eastAsia"/>
        </w:rPr>
      </w:pPr>
      <w:r>
        <w:rPr>
          <w:rFonts w:hint="eastAsia"/>
        </w:rPr>
        <w:t>10.2投标人对招标文件认可的界定：见投标人须知前附表。</w:t>
      </w:r>
    </w:p>
    <w:p w14:paraId="3507090A">
      <w:pPr>
        <w:pStyle w:val="56"/>
        <w:spacing w:before="156"/>
      </w:pPr>
      <w:bookmarkStart w:id="136" w:name="_Toc506105866"/>
      <w:bookmarkStart w:id="137" w:name="_Toc507936060"/>
      <w:r>
        <w:br w:type="page"/>
      </w:r>
      <w:bookmarkStart w:id="138" w:name="_Toc17549_WPSOffice_Level1"/>
      <w:bookmarkStart w:id="139" w:name="_Toc24184_WPSOffice_Level1"/>
      <w:r>
        <w:rPr>
          <w:rFonts w:hint="eastAsia"/>
        </w:rPr>
        <w:t>第三章  评标办法</w:t>
      </w:r>
      <w:bookmarkEnd w:id="136"/>
      <w:bookmarkEnd w:id="137"/>
      <w:bookmarkEnd w:id="138"/>
      <w:bookmarkEnd w:id="139"/>
    </w:p>
    <w:p w14:paraId="3008EE0C">
      <w:pPr>
        <w:tabs>
          <w:tab w:val="left" w:pos="6237"/>
        </w:tabs>
        <w:spacing w:line="360" w:lineRule="auto"/>
        <w:ind w:firstLine="480" w:firstLineChars="200"/>
        <w:rPr>
          <w:rFonts w:cs="仿宋"/>
          <w:bCs/>
          <w:color w:val="000000"/>
        </w:rPr>
      </w:pPr>
      <w:r>
        <w:rPr>
          <w:rFonts w:hint="eastAsia" w:cs="仿宋"/>
          <w:bCs/>
          <w:color w:val="000000"/>
        </w:rPr>
        <w:t>为规范招标工作，制定本办法。</w:t>
      </w:r>
    </w:p>
    <w:p w14:paraId="2991EE9B">
      <w:pPr>
        <w:spacing w:line="360" w:lineRule="auto"/>
        <w:rPr>
          <w:rFonts w:cs="仿宋"/>
          <w:color w:val="000000"/>
        </w:rPr>
      </w:pPr>
      <w:r>
        <w:rPr>
          <w:rFonts w:hint="eastAsia" w:cs="仿宋"/>
          <w:color w:val="000000"/>
        </w:rPr>
        <w:t>一、评标方法</w:t>
      </w:r>
    </w:p>
    <w:p w14:paraId="789F7380">
      <w:pPr>
        <w:spacing w:line="360" w:lineRule="auto"/>
        <w:ind w:firstLine="480" w:firstLineChars="200"/>
        <w:rPr>
          <w:rFonts w:cs="仿宋"/>
          <w:bCs/>
          <w:color w:val="000000"/>
        </w:rPr>
      </w:pPr>
      <w:r>
        <w:rPr>
          <w:rFonts w:hint="eastAsia" w:cs="仿宋"/>
          <w:bCs/>
          <w:color w:val="000000"/>
        </w:rPr>
        <w:t>按评分标准表进行评标。</w:t>
      </w:r>
    </w:p>
    <w:p w14:paraId="071DEE0B">
      <w:pPr>
        <w:spacing w:line="360" w:lineRule="auto"/>
        <w:rPr>
          <w:rFonts w:cs="仿宋"/>
          <w:color w:val="000000"/>
        </w:rPr>
      </w:pPr>
      <w:r>
        <w:rPr>
          <w:rFonts w:hint="eastAsia" w:cs="仿宋"/>
          <w:bCs/>
          <w:color w:val="000000"/>
        </w:rPr>
        <w:t>二、评标原则</w:t>
      </w:r>
    </w:p>
    <w:p w14:paraId="56D0462D">
      <w:pPr>
        <w:spacing w:line="360" w:lineRule="auto"/>
        <w:ind w:firstLine="480" w:firstLineChars="200"/>
        <w:rPr>
          <w:rFonts w:cs="仿宋"/>
          <w:color w:val="000000"/>
        </w:rPr>
      </w:pPr>
      <w:r>
        <w:rPr>
          <w:rFonts w:hint="eastAsia" w:cs="仿宋"/>
          <w:bCs/>
          <w:color w:val="000000"/>
        </w:rPr>
        <w:t>评标遵循公平、公正、科学、择优的原则。</w:t>
      </w:r>
    </w:p>
    <w:p w14:paraId="7963C8C9">
      <w:pPr>
        <w:spacing w:line="360" w:lineRule="auto"/>
        <w:rPr>
          <w:rFonts w:cs="仿宋"/>
          <w:color w:val="000000"/>
        </w:rPr>
      </w:pPr>
      <w:r>
        <w:rPr>
          <w:rFonts w:hint="eastAsia" w:cs="仿宋"/>
          <w:bCs/>
          <w:color w:val="000000"/>
        </w:rPr>
        <w:t>三、评标组织及服务</w:t>
      </w:r>
    </w:p>
    <w:p w14:paraId="0D5E1CF0">
      <w:pPr>
        <w:spacing w:line="360" w:lineRule="auto"/>
        <w:ind w:firstLine="480" w:firstLineChars="200"/>
        <w:rPr>
          <w:rFonts w:cs="仿宋"/>
          <w:bCs/>
          <w:color w:val="000000"/>
        </w:rPr>
      </w:pPr>
      <w:r>
        <w:rPr>
          <w:rFonts w:hint="eastAsia" w:cs="仿宋"/>
          <w:bCs/>
          <w:color w:val="000000"/>
        </w:rPr>
        <w:t>1、为做好评标工作，成立评标委员会和工作小组。</w:t>
      </w:r>
    </w:p>
    <w:p w14:paraId="455C392D">
      <w:pPr>
        <w:spacing w:line="360" w:lineRule="auto"/>
        <w:ind w:firstLine="480" w:firstLineChars="200"/>
        <w:rPr>
          <w:rFonts w:cs="仿宋"/>
          <w:bCs/>
          <w:color w:val="000000"/>
        </w:rPr>
      </w:pPr>
      <w:r>
        <w:rPr>
          <w:rFonts w:hint="eastAsia" w:cs="仿宋"/>
          <w:bCs/>
          <w:color w:val="000000"/>
        </w:rPr>
        <w:t>2、评标委员会</w:t>
      </w:r>
    </w:p>
    <w:p w14:paraId="3EEE48FB">
      <w:pPr>
        <w:spacing w:line="360" w:lineRule="auto"/>
        <w:ind w:firstLine="480" w:firstLineChars="200"/>
        <w:rPr>
          <w:rFonts w:cs="仿宋"/>
          <w:bCs/>
          <w:color w:val="000000"/>
        </w:rPr>
      </w:pPr>
      <w:r>
        <w:rPr>
          <w:rFonts w:hint="eastAsia" w:cs="仿宋"/>
          <w:bCs/>
          <w:color w:val="000000"/>
        </w:rPr>
        <w:t>2.1评标委员会由招标人依法组建，评标委员会成员由招标人代表及熟悉相关业务的有关技术、经济等方面的专家组成。</w:t>
      </w:r>
    </w:p>
    <w:p w14:paraId="1935EA98">
      <w:pPr>
        <w:spacing w:line="360" w:lineRule="auto"/>
        <w:ind w:firstLine="480" w:firstLineChars="200"/>
        <w:rPr>
          <w:rFonts w:cs="仿宋"/>
          <w:bCs/>
          <w:color w:val="000000"/>
        </w:rPr>
      </w:pPr>
      <w:r>
        <w:rPr>
          <w:rFonts w:hint="eastAsia" w:cs="仿宋"/>
          <w:bCs/>
          <w:color w:val="000000"/>
        </w:rPr>
        <w:t>2.2评标委员会成员为5人及以上单数。</w:t>
      </w:r>
    </w:p>
    <w:p w14:paraId="7728E29C">
      <w:pPr>
        <w:spacing w:line="360" w:lineRule="auto"/>
        <w:ind w:firstLine="480" w:firstLineChars="200"/>
        <w:rPr>
          <w:rFonts w:cs="仿宋"/>
          <w:bCs/>
          <w:color w:val="000000"/>
        </w:rPr>
      </w:pPr>
      <w:r>
        <w:rPr>
          <w:rFonts w:hint="eastAsia" w:cs="仿宋"/>
          <w:bCs/>
          <w:color w:val="000000"/>
        </w:rPr>
        <w:t>2.3评标工作由评标委员会负责。</w:t>
      </w:r>
    </w:p>
    <w:p w14:paraId="0B838BD1">
      <w:pPr>
        <w:spacing w:line="360" w:lineRule="auto"/>
        <w:ind w:firstLine="480" w:firstLineChars="200"/>
        <w:rPr>
          <w:rFonts w:cs="仿宋"/>
          <w:bCs/>
          <w:color w:val="000000"/>
        </w:rPr>
      </w:pPr>
      <w:r>
        <w:rPr>
          <w:rFonts w:hint="eastAsia" w:cs="仿宋"/>
          <w:bCs/>
          <w:color w:val="000000"/>
        </w:rPr>
        <w:t>3、工作小组</w:t>
      </w:r>
    </w:p>
    <w:p w14:paraId="1C2D015F">
      <w:pPr>
        <w:spacing w:line="360" w:lineRule="auto"/>
        <w:ind w:firstLine="480" w:firstLineChars="200"/>
        <w:rPr>
          <w:rFonts w:cs="仿宋"/>
          <w:bCs/>
          <w:color w:val="000000"/>
        </w:rPr>
      </w:pPr>
      <w:r>
        <w:rPr>
          <w:rFonts w:hint="eastAsia" w:cs="仿宋"/>
          <w:bCs/>
          <w:color w:val="000000"/>
        </w:rPr>
        <w:t>3.1由招标人组成工作小组，为评标委员会服务。</w:t>
      </w:r>
    </w:p>
    <w:p w14:paraId="16E10AB9">
      <w:pPr>
        <w:spacing w:line="360" w:lineRule="auto"/>
        <w:ind w:firstLine="480" w:firstLineChars="200"/>
        <w:rPr>
          <w:rFonts w:cs="仿宋"/>
          <w:bCs/>
          <w:color w:val="000000"/>
        </w:rPr>
      </w:pPr>
      <w:r>
        <w:rPr>
          <w:rFonts w:hint="eastAsia" w:cs="仿宋"/>
          <w:bCs/>
          <w:color w:val="000000"/>
        </w:rPr>
        <w:t>3.2工作小组承担保管招标文件、投标文件、发放评标资料、投标文件摘录汇总、基础数据对比及会议服务。</w:t>
      </w:r>
    </w:p>
    <w:p w14:paraId="1F7FF5A8">
      <w:pPr>
        <w:spacing w:line="360" w:lineRule="auto"/>
        <w:rPr>
          <w:rFonts w:cs="仿宋"/>
          <w:bCs/>
          <w:color w:val="000000"/>
        </w:rPr>
      </w:pPr>
      <w:r>
        <w:rPr>
          <w:rFonts w:hint="eastAsia" w:cs="仿宋"/>
          <w:bCs/>
          <w:color w:val="000000"/>
        </w:rPr>
        <w:t>四、评标程序及内容</w:t>
      </w:r>
    </w:p>
    <w:p w14:paraId="0D2AB460">
      <w:pPr>
        <w:spacing w:line="360" w:lineRule="auto"/>
        <w:ind w:firstLine="480" w:firstLineChars="200"/>
        <w:rPr>
          <w:rFonts w:hint="eastAsia" w:cs="仿宋"/>
          <w:bCs/>
          <w:color w:val="FF0000"/>
        </w:rPr>
      </w:pPr>
      <w:r>
        <w:rPr>
          <w:rFonts w:hint="eastAsia" w:cs="仿宋"/>
          <w:bCs/>
          <w:color w:val="000000"/>
        </w:rPr>
        <w:t>1、评标的方法：</w:t>
      </w:r>
      <w:r>
        <w:rPr>
          <w:rFonts w:hint="eastAsia" w:cs="仿宋"/>
          <w:bCs/>
        </w:rPr>
        <w:t>由资格审查、</w:t>
      </w:r>
      <w:r>
        <w:rPr>
          <w:rFonts w:hint="eastAsia" w:cs="仿宋"/>
          <w:bCs/>
          <w:color w:val="000000"/>
        </w:rPr>
        <w:t>综合</w:t>
      </w:r>
      <w:r>
        <w:rPr>
          <w:rFonts w:hint="eastAsia" w:cs="仿宋"/>
          <w:bCs/>
        </w:rPr>
        <w:t>评标两部分。</w:t>
      </w:r>
    </w:p>
    <w:p w14:paraId="2B3862DF">
      <w:pPr>
        <w:spacing w:line="360" w:lineRule="auto"/>
        <w:ind w:firstLine="480" w:firstLineChars="200"/>
        <w:rPr>
          <w:rFonts w:cs="仿宋"/>
          <w:bCs/>
          <w:color w:val="000000"/>
        </w:rPr>
      </w:pPr>
      <w:r>
        <w:rPr>
          <w:rFonts w:hint="eastAsia" w:cs="仿宋"/>
          <w:bCs/>
        </w:rPr>
        <w:t>2、资格审查</w:t>
      </w:r>
      <w:r>
        <w:rPr>
          <w:rFonts w:hint="eastAsia" w:cs="仿宋"/>
          <w:bCs/>
          <w:color w:val="000000"/>
        </w:rPr>
        <w:t>：按对投标人的资格要求、缴纳投标保证金等情况进行评标。详见《资格审查表》。</w:t>
      </w:r>
    </w:p>
    <w:p w14:paraId="15770DEC">
      <w:pPr>
        <w:spacing w:line="360" w:lineRule="auto"/>
        <w:ind w:firstLine="480" w:firstLineChars="200"/>
        <w:rPr>
          <w:rFonts w:cs="仿宋"/>
          <w:bCs/>
          <w:color w:val="000000"/>
        </w:rPr>
      </w:pPr>
      <w:r>
        <w:rPr>
          <w:rFonts w:hint="eastAsia" w:cs="仿宋"/>
          <w:bCs/>
          <w:color w:val="000000"/>
        </w:rPr>
        <w:t>3、综合评标：通过资格审查后，根据投标人的商务、技术和价格等进行综合评标。</w:t>
      </w:r>
    </w:p>
    <w:p w14:paraId="16E0F908">
      <w:pPr>
        <w:spacing w:line="360" w:lineRule="auto"/>
        <w:rPr>
          <w:rFonts w:cs="仿宋"/>
          <w:bCs/>
          <w:color w:val="000000"/>
        </w:rPr>
      </w:pPr>
      <w:r>
        <w:rPr>
          <w:rFonts w:hint="eastAsia" w:cs="仿宋"/>
          <w:bCs/>
          <w:color w:val="000000"/>
        </w:rPr>
        <w:t>五、评标报告</w:t>
      </w:r>
    </w:p>
    <w:p w14:paraId="52101619">
      <w:pPr>
        <w:spacing w:line="360" w:lineRule="auto"/>
        <w:ind w:firstLine="480" w:firstLineChars="200"/>
        <w:rPr>
          <w:rFonts w:cs="仿宋"/>
          <w:bCs/>
          <w:color w:val="000000"/>
        </w:rPr>
      </w:pPr>
      <w:r>
        <w:rPr>
          <w:rFonts w:hint="eastAsia" w:cs="仿宋"/>
          <w:bCs/>
          <w:color w:val="000000"/>
        </w:rPr>
        <w:t>1、评标委员会根据评标情况和结果，向招标人提交评标报告。评标报告由评标委员会起草，评标委员会全体成员应在评标报告上签字确认，评标专家如有保留意见可以在评标报告中阐明。</w:t>
      </w:r>
    </w:p>
    <w:p w14:paraId="52FC9E09">
      <w:pPr>
        <w:spacing w:line="360" w:lineRule="auto"/>
        <w:ind w:firstLine="480" w:firstLineChars="200"/>
        <w:rPr>
          <w:rFonts w:cs="仿宋"/>
          <w:bCs/>
          <w:color w:val="000000"/>
        </w:rPr>
      </w:pPr>
      <w:r>
        <w:rPr>
          <w:rFonts w:hint="eastAsia" w:cs="仿宋"/>
          <w:bCs/>
          <w:color w:val="000000"/>
        </w:rPr>
        <w:t>2、评标委员会在评标报告中根据得分排序推荐前</w:t>
      </w:r>
      <w:r>
        <w:rPr>
          <w:rFonts w:hint="eastAsia" w:cs="仿宋"/>
          <w:bCs/>
        </w:rPr>
        <w:t>一至二名</w:t>
      </w:r>
      <w:r>
        <w:rPr>
          <w:rFonts w:hint="eastAsia" w:cs="仿宋"/>
          <w:bCs/>
          <w:color w:val="000000"/>
        </w:rPr>
        <w:t>为中标候选人。</w:t>
      </w:r>
    </w:p>
    <w:p w14:paraId="11D6EA3D">
      <w:pPr>
        <w:jc w:val="center"/>
        <w:rPr>
          <w:rFonts w:hint="eastAsia"/>
          <w:b/>
          <w:sz w:val="30"/>
          <w:szCs w:val="30"/>
        </w:rPr>
      </w:pPr>
    </w:p>
    <w:p w14:paraId="62170735">
      <w:pPr>
        <w:jc w:val="center"/>
        <w:rPr>
          <w:b/>
          <w:sz w:val="30"/>
          <w:szCs w:val="30"/>
        </w:rPr>
      </w:pPr>
      <w:r>
        <w:rPr>
          <w:rFonts w:hint="eastAsia"/>
          <w:b/>
          <w:sz w:val="30"/>
          <w:szCs w:val="30"/>
        </w:rPr>
        <w:t>1.资格审查表</w:t>
      </w:r>
    </w:p>
    <w:p w14:paraId="61399F9C">
      <w:pPr>
        <w:ind w:left="-808" w:leftChars="-337" w:firstLine="720" w:firstLineChars="300"/>
        <w:rPr>
          <w:szCs w:val="21"/>
        </w:rPr>
      </w:pPr>
      <w:r>
        <w:rPr>
          <w:rFonts w:hint="eastAsia"/>
          <w:szCs w:val="21"/>
        </w:rPr>
        <w:t>招标编号：                 审查日期： 年 月 日</w:t>
      </w:r>
    </w:p>
    <w:tbl>
      <w:tblPr>
        <w:tblStyle w:val="46"/>
        <w:tblW w:w="0" w:type="auto"/>
        <w:tblInd w:w="-601" w:type="dxa"/>
        <w:tblLayout w:type="autofit"/>
        <w:tblCellMar>
          <w:top w:w="0" w:type="dxa"/>
          <w:left w:w="108" w:type="dxa"/>
          <w:bottom w:w="0" w:type="dxa"/>
          <w:right w:w="108" w:type="dxa"/>
        </w:tblCellMar>
      </w:tblPr>
      <w:tblGrid>
        <w:gridCol w:w="567"/>
        <w:gridCol w:w="1276"/>
        <w:gridCol w:w="1701"/>
        <w:gridCol w:w="993"/>
        <w:gridCol w:w="456"/>
        <w:gridCol w:w="849"/>
        <w:gridCol w:w="1701"/>
        <w:gridCol w:w="2268"/>
      </w:tblGrid>
      <w:tr w14:paraId="49BB3F77">
        <w:tblPrEx>
          <w:tblCellMar>
            <w:top w:w="0" w:type="dxa"/>
            <w:left w:w="108" w:type="dxa"/>
            <w:bottom w:w="0" w:type="dxa"/>
            <w:right w:w="108" w:type="dxa"/>
          </w:tblCellMar>
        </w:tblPrEx>
        <w:trPr>
          <w:trHeight w:val="300" w:hRule="atLeast"/>
        </w:trPr>
        <w:tc>
          <w:tcPr>
            <w:tcW w:w="1843" w:type="dxa"/>
            <w:gridSpan w:val="2"/>
            <w:tcBorders>
              <w:top w:val="single" w:color="auto" w:sz="8" w:space="0"/>
              <w:left w:val="single" w:color="auto" w:sz="8" w:space="0"/>
              <w:bottom w:val="single" w:color="auto" w:sz="8" w:space="0"/>
              <w:right w:val="single" w:color="000000" w:sz="8" w:space="0"/>
            </w:tcBorders>
            <w:noWrap/>
            <w:vAlign w:val="center"/>
          </w:tcPr>
          <w:p w14:paraId="68C46730">
            <w:pPr>
              <w:jc w:val="center"/>
              <w:rPr>
                <w:szCs w:val="21"/>
              </w:rPr>
            </w:pPr>
            <w:r>
              <w:rPr>
                <w:rFonts w:hint="eastAsia"/>
                <w:szCs w:val="21"/>
              </w:rPr>
              <w:t>招标名称</w:t>
            </w:r>
          </w:p>
        </w:tc>
        <w:tc>
          <w:tcPr>
            <w:tcW w:w="7938" w:type="dxa"/>
            <w:gridSpan w:val="6"/>
            <w:tcBorders>
              <w:top w:val="single" w:color="auto" w:sz="8" w:space="0"/>
              <w:left w:val="nil"/>
              <w:bottom w:val="single" w:color="auto" w:sz="8" w:space="0"/>
              <w:right w:val="single" w:color="000000" w:sz="8" w:space="0"/>
            </w:tcBorders>
            <w:noWrap/>
            <w:vAlign w:val="center"/>
          </w:tcPr>
          <w:p w14:paraId="2A419E03">
            <w:pPr>
              <w:jc w:val="center"/>
              <w:rPr>
                <w:szCs w:val="21"/>
              </w:rPr>
            </w:pPr>
          </w:p>
        </w:tc>
      </w:tr>
      <w:tr w14:paraId="2A5A99E3">
        <w:tblPrEx>
          <w:tblCellMar>
            <w:top w:w="0" w:type="dxa"/>
            <w:left w:w="108" w:type="dxa"/>
            <w:bottom w:w="0" w:type="dxa"/>
            <w:right w:w="108" w:type="dxa"/>
          </w:tblCellMar>
        </w:tblPrEx>
        <w:trPr>
          <w:trHeight w:val="300" w:hRule="atLeast"/>
        </w:trPr>
        <w:tc>
          <w:tcPr>
            <w:tcW w:w="1843" w:type="dxa"/>
            <w:gridSpan w:val="2"/>
            <w:tcBorders>
              <w:top w:val="single" w:color="auto" w:sz="8" w:space="0"/>
              <w:left w:val="single" w:color="auto" w:sz="8" w:space="0"/>
              <w:bottom w:val="single" w:color="auto" w:sz="8" w:space="0"/>
              <w:right w:val="single" w:color="000000" w:sz="8" w:space="0"/>
            </w:tcBorders>
            <w:noWrap/>
            <w:vAlign w:val="center"/>
          </w:tcPr>
          <w:p w14:paraId="05698E36">
            <w:pPr>
              <w:jc w:val="center"/>
              <w:rPr>
                <w:szCs w:val="21"/>
              </w:rPr>
            </w:pPr>
            <w:r>
              <w:rPr>
                <w:rFonts w:hint="eastAsia"/>
                <w:szCs w:val="21"/>
              </w:rPr>
              <w:t>招标内容</w:t>
            </w:r>
          </w:p>
        </w:tc>
        <w:tc>
          <w:tcPr>
            <w:tcW w:w="7938" w:type="dxa"/>
            <w:gridSpan w:val="6"/>
            <w:tcBorders>
              <w:top w:val="single" w:color="auto" w:sz="8" w:space="0"/>
              <w:left w:val="nil"/>
              <w:bottom w:val="single" w:color="auto" w:sz="8" w:space="0"/>
              <w:right w:val="single" w:color="000000" w:sz="8" w:space="0"/>
            </w:tcBorders>
            <w:noWrap/>
            <w:vAlign w:val="center"/>
          </w:tcPr>
          <w:p w14:paraId="531096E2">
            <w:pPr>
              <w:jc w:val="center"/>
              <w:rPr>
                <w:szCs w:val="21"/>
              </w:rPr>
            </w:pPr>
          </w:p>
        </w:tc>
      </w:tr>
      <w:tr w14:paraId="7346D386">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5664E80D">
            <w:pPr>
              <w:jc w:val="center"/>
              <w:rPr>
                <w:szCs w:val="21"/>
              </w:rPr>
            </w:pPr>
            <w:r>
              <w:rPr>
                <w:rFonts w:hint="eastAsia"/>
                <w:szCs w:val="21"/>
              </w:rPr>
              <w:t>序号</w:t>
            </w:r>
          </w:p>
        </w:tc>
        <w:tc>
          <w:tcPr>
            <w:tcW w:w="2977" w:type="dxa"/>
            <w:gridSpan w:val="2"/>
            <w:tcBorders>
              <w:top w:val="single" w:color="auto" w:sz="8" w:space="0"/>
              <w:left w:val="nil"/>
              <w:bottom w:val="single" w:color="auto" w:sz="8" w:space="0"/>
              <w:right w:val="single" w:color="000000" w:sz="8" w:space="0"/>
            </w:tcBorders>
            <w:noWrap/>
            <w:vAlign w:val="center"/>
          </w:tcPr>
          <w:p w14:paraId="7A98000C">
            <w:pPr>
              <w:jc w:val="center"/>
              <w:rPr>
                <w:szCs w:val="21"/>
              </w:rPr>
            </w:pPr>
            <w:r>
              <w:rPr>
                <w:rFonts w:hint="eastAsia"/>
                <w:szCs w:val="21"/>
              </w:rPr>
              <w:t>报名单位</w:t>
            </w:r>
          </w:p>
        </w:tc>
        <w:tc>
          <w:tcPr>
            <w:tcW w:w="993" w:type="dxa"/>
            <w:tcBorders>
              <w:top w:val="nil"/>
              <w:left w:val="nil"/>
              <w:bottom w:val="single" w:color="auto" w:sz="8" w:space="0"/>
              <w:right w:val="single" w:color="auto" w:sz="8" w:space="0"/>
            </w:tcBorders>
            <w:noWrap/>
            <w:vAlign w:val="center"/>
          </w:tcPr>
          <w:p w14:paraId="6301ADCE">
            <w:pPr>
              <w:jc w:val="center"/>
              <w:rPr>
                <w:szCs w:val="21"/>
              </w:rPr>
            </w:pPr>
            <w:r>
              <w:rPr>
                <w:rFonts w:hint="eastAsia"/>
                <w:szCs w:val="21"/>
              </w:rPr>
              <w:t>注册资金</w:t>
            </w:r>
          </w:p>
        </w:tc>
        <w:tc>
          <w:tcPr>
            <w:tcW w:w="426" w:type="dxa"/>
            <w:tcBorders>
              <w:top w:val="nil"/>
              <w:left w:val="nil"/>
              <w:bottom w:val="single" w:color="auto" w:sz="8" w:space="0"/>
              <w:right w:val="single" w:color="auto" w:sz="8" w:space="0"/>
            </w:tcBorders>
            <w:noWrap w:val="0"/>
            <w:vAlign w:val="center"/>
          </w:tcPr>
          <w:p w14:paraId="4AEC8739">
            <w:pPr>
              <w:jc w:val="center"/>
              <w:rPr>
                <w:szCs w:val="21"/>
              </w:rPr>
            </w:pPr>
            <w:r>
              <w:rPr>
                <w:rFonts w:hint="eastAsia"/>
                <w:szCs w:val="21"/>
              </w:rPr>
              <w:t>业绩</w:t>
            </w:r>
          </w:p>
        </w:tc>
        <w:tc>
          <w:tcPr>
            <w:tcW w:w="849" w:type="dxa"/>
            <w:tcBorders>
              <w:top w:val="nil"/>
              <w:left w:val="nil"/>
              <w:bottom w:val="single" w:color="auto" w:sz="8" w:space="0"/>
              <w:right w:val="single" w:color="auto" w:sz="8" w:space="0"/>
            </w:tcBorders>
            <w:noWrap/>
            <w:vAlign w:val="center"/>
          </w:tcPr>
          <w:p w14:paraId="25E59DB0">
            <w:pPr>
              <w:jc w:val="center"/>
              <w:rPr>
                <w:szCs w:val="21"/>
              </w:rPr>
            </w:pPr>
            <w:r>
              <w:rPr>
                <w:rFonts w:hint="eastAsia"/>
                <w:szCs w:val="21"/>
              </w:rPr>
              <w:t>联系人</w:t>
            </w:r>
          </w:p>
        </w:tc>
        <w:tc>
          <w:tcPr>
            <w:tcW w:w="1701" w:type="dxa"/>
            <w:tcBorders>
              <w:top w:val="nil"/>
              <w:left w:val="nil"/>
              <w:bottom w:val="single" w:color="auto" w:sz="8" w:space="0"/>
              <w:right w:val="single" w:color="auto" w:sz="8" w:space="0"/>
            </w:tcBorders>
            <w:noWrap/>
            <w:vAlign w:val="center"/>
          </w:tcPr>
          <w:p w14:paraId="01574121">
            <w:pPr>
              <w:jc w:val="center"/>
              <w:rPr>
                <w:szCs w:val="21"/>
              </w:rPr>
            </w:pPr>
            <w:r>
              <w:rPr>
                <w:rFonts w:hint="eastAsia"/>
                <w:szCs w:val="21"/>
              </w:rPr>
              <w:t>联系电话</w:t>
            </w:r>
          </w:p>
        </w:tc>
        <w:tc>
          <w:tcPr>
            <w:tcW w:w="2268" w:type="dxa"/>
            <w:tcBorders>
              <w:top w:val="nil"/>
              <w:left w:val="nil"/>
              <w:bottom w:val="single" w:color="auto" w:sz="8" w:space="0"/>
              <w:right w:val="single" w:color="auto" w:sz="8" w:space="0"/>
            </w:tcBorders>
            <w:noWrap/>
            <w:vAlign w:val="center"/>
          </w:tcPr>
          <w:p w14:paraId="1F6FE525">
            <w:pPr>
              <w:jc w:val="center"/>
              <w:rPr>
                <w:szCs w:val="21"/>
              </w:rPr>
            </w:pPr>
            <w:r>
              <w:rPr>
                <w:rFonts w:hint="eastAsia"/>
                <w:szCs w:val="21"/>
              </w:rPr>
              <w:t>包号</w:t>
            </w:r>
          </w:p>
        </w:tc>
      </w:tr>
      <w:tr w14:paraId="06F69681">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2D1720DA">
            <w:pPr>
              <w:jc w:val="center"/>
              <w:rPr>
                <w:color w:val="000000"/>
                <w:szCs w:val="21"/>
              </w:rPr>
            </w:pPr>
            <w:r>
              <w:rPr>
                <w:rFonts w:hint="eastAsia"/>
                <w:color w:val="000000"/>
                <w:szCs w:val="21"/>
              </w:rPr>
              <w:t>1</w:t>
            </w:r>
          </w:p>
        </w:tc>
        <w:tc>
          <w:tcPr>
            <w:tcW w:w="2977" w:type="dxa"/>
            <w:gridSpan w:val="2"/>
            <w:tcBorders>
              <w:top w:val="single" w:color="auto" w:sz="8" w:space="0"/>
              <w:left w:val="nil"/>
              <w:bottom w:val="single" w:color="auto" w:sz="8" w:space="0"/>
              <w:right w:val="single" w:color="000000" w:sz="8" w:space="0"/>
            </w:tcBorders>
            <w:noWrap/>
            <w:vAlign w:val="center"/>
          </w:tcPr>
          <w:p w14:paraId="3B03AEB3">
            <w:pPr>
              <w:jc w:val="center"/>
              <w:rPr>
                <w:color w:val="000000"/>
                <w:szCs w:val="21"/>
              </w:rPr>
            </w:pPr>
            <w:r>
              <w:rPr>
                <w:rFonts w:hint="eastAsia"/>
                <w:color w:val="000000"/>
                <w:szCs w:val="21"/>
              </w:rPr>
              <w:t>　</w:t>
            </w:r>
          </w:p>
        </w:tc>
        <w:tc>
          <w:tcPr>
            <w:tcW w:w="993" w:type="dxa"/>
            <w:tcBorders>
              <w:top w:val="nil"/>
              <w:left w:val="nil"/>
              <w:bottom w:val="single" w:color="auto" w:sz="8" w:space="0"/>
              <w:right w:val="single" w:color="auto" w:sz="8" w:space="0"/>
            </w:tcBorders>
            <w:noWrap/>
            <w:vAlign w:val="center"/>
          </w:tcPr>
          <w:p w14:paraId="5FF36FC1">
            <w:pPr>
              <w:jc w:val="center"/>
              <w:rPr>
                <w:color w:val="000000"/>
                <w:szCs w:val="21"/>
              </w:rPr>
            </w:pPr>
            <w:r>
              <w:rPr>
                <w:rFonts w:hint="eastAsia"/>
                <w:color w:val="000000"/>
                <w:szCs w:val="21"/>
              </w:rPr>
              <w:t>　</w:t>
            </w:r>
          </w:p>
        </w:tc>
        <w:tc>
          <w:tcPr>
            <w:tcW w:w="426" w:type="dxa"/>
            <w:tcBorders>
              <w:top w:val="nil"/>
              <w:left w:val="nil"/>
              <w:bottom w:val="single" w:color="auto" w:sz="8" w:space="0"/>
              <w:right w:val="single" w:color="auto" w:sz="8" w:space="0"/>
            </w:tcBorders>
            <w:noWrap/>
            <w:vAlign w:val="center"/>
          </w:tcPr>
          <w:p w14:paraId="7E1B88CC">
            <w:pPr>
              <w:jc w:val="center"/>
              <w:rPr>
                <w:color w:val="000000"/>
                <w:szCs w:val="21"/>
              </w:rPr>
            </w:pPr>
            <w:r>
              <w:rPr>
                <w:rFonts w:hint="eastAsia"/>
                <w:color w:val="000000"/>
                <w:szCs w:val="21"/>
              </w:rPr>
              <w:t>　</w:t>
            </w:r>
          </w:p>
        </w:tc>
        <w:tc>
          <w:tcPr>
            <w:tcW w:w="849" w:type="dxa"/>
            <w:tcBorders>
              <w:top w:val="nil"/>
              <w:left w:val="nil"/>
              <w:bottom w:val="single" w:color="auto" w:sz="8" w:space="0"/>
              <w:right w:val="single" w:color="auto" w:sz="8" w:space="0"/>
            </w:tcBorders>
            <w:noWrap/>
            <w:vAlign w:val="center"/>
          </w:tcPr>
          <w:p w14:paraId="2095F4D2">
            <w:pPr>
              <w:jc w:val="center"/>
              <w:rPr>
                <w:color w:val="000000"/>
                <w:szCs w:val="21"/>
              </w:rPr>
            </w:pPr>
            <w:r>
              <w:rPr>
                <w:rFonts w:hint="eastAsia"/>
                <w:color w:val="000000"/>
                <w:szCs w:val="21"/>
              </w:rPr>
              <w:t>　</w:t>
            </w:r>
          </w:p>
        </w:tc>
        <w:tc>
          <w:tcPr>
            <w:tcW w:w="1701" w:type="dxa"/>
            <w:tcBorders>
              <w:top w:val="nil"/>
              <w:left w:val="nil"/>
              <w:bottom w:val="single" w:color="auto" w:sz="8" w:space="0"/>
              <w:right w:val="single" w:color="auto" w:sz="8" w:space="0"/>
            </w:tcBorders>
            <w:noWrap/>
            <w:vAlign w:val="center"/>
          </w:tcPr>
          <w:p w14:paraId="1E7F2CF6">
            <w:pPr>
              <w:jc w:val="center"/>
              <w:rPr>
                <w:color w:val="000000"/>
                <w:szCs w:val="21"/>
              </w:rPr>
            </w:pPr>
            <w:r>
              <w:rPr>
                <w:rFonts w:hint="eastAsia"/>
                <w:color w:val="000000"/>
                <w:szCs w:val="21"/>
              </w:rPr>
              <w:t>　</w:t>
            </w:r>
          </w:p>
        </w:tc>
        <w:tc>
          <w:tcPr>
            <w:tcW w:w="2268" w:type="dxa"/>
            <w:tcBorders>
              <w:top w:val="nil"/>
              <w:left w:val="nil"/>
              <w:bottom w:val="single" w:color="auto" w:sz="8" w:space="0"/>
              <w:right w:val="single" w:color="auto" w:sz="8" w:space="0"/>
            </w:tcBorders>
            <w:noWrap/>
            <w:vAlign w:val="center"/>
          </w:tcPr>
          <w:p w14:paraId="37B3E581">
            <w:pPr>
              <w:jc w:val="center"/>
              <w:rPr>
                <w:color w:val="000000"/>
                <w:szCs w:val="21"/>
              </w:rPr>
            </w:pPr>
            <w:r>
              <w:rPr>
                <w:rFonts w:hint="eastAsia"/>
                <w:color w:val="000000"/>
                <w:szCs w:val="21"/>
              </w:rPr>
              <w:t>　</w:t>
            </w:r>
          </w:p>
        </w:tc>
      </w:tr>
      <w:tr w14:paraId="02147C14">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73DF562D">
            <w:pPr>
              <w:jc w:val="center"/>
              <w:rPr>
                <w:color w:val="000000"/>
                <w:szCs w:val="21"/>
              </w:rPr>
            </w:pPr>
            <w:r>
              <w:rPr>
                <w:rFonts w:hint="eastAsia"/>
                <w:color w:val="000000"/>
                <w:szCs w:val="21"/>
              </w:rPr>
              <w:t>2</w:t>
            </w:r>
          </w:p>
        </w:tc>
        <w:tc>
          <w:tcPr>
            <w:tcW w:w="2977" w:type="dxa"/>
            <w:gridSpan w:val="2"/>
            <w:tcBorders>
              <w:top w:val="single" w:color="auto" w:sz="8" w:space="0"/>
              <w:left w:val="nil"/>
              <w:bottom w:val="single" w:color="auto" w:sz="8" w:space="0"/>
              <w:right w:val="single" w:color="000000" w:sz="8" w:space="0"/>
            </w:tcBorders>
            <w:noWrap/>
            <w:vAlign w:val="center"/>
          </w:tcPr>
          <w:p w14:paraId="1C4C8EAE">
            <w:pPr>
              <w:jc w:val="center"/>
              <w:rPr>
                <w:color w:val="000000"/>
                <w:szCs w:val="21"/>
              </w:rPr>
            </w:pPr>
            <w:r>
              <w:rPr>
                <w:rFonts w:hint="eastAsia"/>
                <w:color w:val="000000"/>
                <w:szCs w:val="21"/>
              </w:rPr>
              <w:t>　</w:t>
            </w:r>
          </w:p>
        </w:tc>
        <w:tc>
          <w:tcPr>
            <w:tcW w:w="993" w:type="dxa"/>
            <w:tcBorders>
              <w:top w:val="nil"/>
              <w:left w:val="nil"/>
              <w:bottom w:val="single" w:color="auto" w:sz="8" w:space="0"/>
              <w:right w:val="single" w:color="auto" w:sz="8" w:space="0"/>
            </w:tcBorders>
            <w:noWrap/>
            <w:vAlign w:val="center"/>
          </w:tcPr>
          <w:p w14:paraId="4361BBB4">
            <w:pPr>
              <w:jc w:val="center"/>
              <w:rPr>
                <w:color w:val="000000"/>
                <w:szCs w:val="21"/>
              </w:rPr>
            </w:pPr>
            <w:r>
              <w:rPr>
                <w:rFonts w:hint="eastAsia"/>
                <w:color w:val="000000"/>
                <w:szCs w:val="21"/>
              </w:rPr>
              <w:t>　</w:t>
            </w:r>
          </w:p>
        </w:tc>
        <w:tc>
          <w:tcPr>
            <w:tcW w:w="426" w:type="dxa"/>
            <w:tcBorders>
              <w:top w:val="nil"/>
              <w:left w:val="nil"/>
              <w:bottom w:val="single" w:color="auto" w:sz="8" w:space="0"/>
              <w:right w:val="single" w:color="auto" w:sz="8" w:space="0"/>
            </w:tcBorders>
            <w:noWrap/>
            <w:vAlign w:val="center"/>
          </w:tcPr>
          <w:p w14:paraId="11A106BD">
            <w:pPr>
              <w:jc w:val="center"/>
              <w:rPr>
                <w:color w:val="000000"/>
                <w:szCs w:val="21"/>
              </w:rPr>
            </w:pPr>
            <w:r>
              <w:rPr>
                <w:rFonts w:hint="eastAsia"/>
                <w:color w:val="000000"/>
                <w:szCs w:val="21"/>
              </w:rPr>
              <w:t>　</w:t>
            </w:r>
          </w:p>
        </w:tc>
        <w:tc>
          <w:tcPr>
            <w:tcW w:w="849" w:type="dxa"/>
            <w:tcBorders>
              <w:top w:val="nil"/>
              <w:left w:val="nil"/>
              <w:bottom w:val="single" w:color="auto" w:sz="8" w:space="0"/>
              <w:right w:val="single" w:color="auto" w:sz="8" w:space="0"/>
            </w:tcBorders>
            <w:noWrap/>
            <w:vAlign w:val="center"/>
          </w:tcPr>
          <w:p w14:paraId="6019F4C5">
            <w:pPr>
              <w:jc w:val="center"/>
              <w:rPr>
                <w:color w:val="000000"/>
                <w:szCs w:val="21"/>
              </w:rPr>
            </w:pPr>
            <w:r>
              <w:rPr>
                <w:rFonts w:hint="eastAsia"/>
                <w:color w:val="000000"/>
                <w:szCs w:val="21"/>
              </w:rPr>
              <w:t>　</w:t>
            </w:r>
          </w:p>
        </w:tc>
        <w:tc>
          <w:tcPr>
            <w:tcW w:w="1701" w:type="dxa"/>
            <w:tcBorders>
              <w:top w:val="nil"/>
              <w:left w:val="nil"/>
              <w:bottom w:val="single" w:color="auto" w:sz="8" w:space="0"/>
              <w:right w:val="single" w:color="auto" w:sz="8" w:space="0"/>
            </w:tcBorders>
            <w:noWrap/>
            <w:vAlign w:val="center"/>
          </w:tcPr>
          <w:p w14:paraId="3FC8A8E6">
            <w:pPr>
              <w:jc w:val="center"/>
              <w:rPr>
                <w:color w:val="000000"/>
                <w:szCs w:val="21"/>
              </w:rPr>
            </w:pPr>
            <w:r>
              <w:rPr>
                <w:rFonts w:hint="eastAsia"/>
                <w:color w:val="000000"/>
                <w:szCs w:val="21"/>
              </w:rPr>
              <w:t>　</w:t>
            </w:r>
          </w:p>
        </w:tc>
        <w:tc>
          <w:tcPr>
            <w:tcW w:w="2268" w:type="dxa"/>
            <w:tcBorders>
              <w:top w:val="nil"/>
              <w:left w:val="nil"/>
              <w:bottom w:val="single" w:color="auto" w:sz="8" w:space="0"/>
              <w:right w:val="single" w:color="auto" w:sz="8" w:space="0"/>
            </w:tcBorders>
            <w:noWrap/>
            <w:vAlign w:val="center"/>
          </w:tcPr>
          <w:p w14:paraId="304A169F">
            <w:pPr>
              <w:jc w:val="center"/>
              <w:rPr>
                <w:color w:val="000000"/>
                <w:szCs w:val="21"/>
              </w:rPr>
            </w:pPr>
            <w:r>
              <w:rPr>
                <w:rFonts w:hint="eastAsia"/>
                <w:color w:val="000000"/>
                <w:szCs w:val="21"/>
              </w:rPr>
              <w:t>　</w:t>
            </w:r>
          </w:p>
        </w:tc>
      </w:tr>
      <w:tr w14:paraId="55ADAF3D">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04490C81">
            <w:pPr>
              <w:jc w:val="center"/>
              <w:rPr>
                <w:color w:val="000000"/>
                <w:szCs w:val="21"/>
              </w:rPr>
            </w:pPr>
            <w:r>
              <w:rPr>
                <w:rFonts w:hint="eastAsia"/>
                <w:color w:val="000000"/>
                <w:szCs w:val="21"/>
              </w:rPr>
              <w:t>3</w:t>
            </w:r>
          </w:p>
        </w:tc>
        <w:tc>
          <w:tcPr>
            <w:tcW w:w="2977" w:type="dxa"/>
            <w:gridSpan w:val="2"/>
            <w:tcBorders>
              <w:top w:val="single" w:color="auto" w:sz="8" w:space="0"/>
              <w:left w:val="nil"/>
              <w:bottom w:val="single" w:color="auto" w:sz="8" w:space="0"/>
              <w:right w:val="single" w:color="000000" w:sz="8" w:space="0"/>
            </w:tcBorders>
            <w:noWrap/>
            <w:vAlign w:val="center"/>
          </w:tcPr>
          <w:p w14:paraId="60B94ED4">
            <w:pPr>
              <w:jc w:val="center"/>
              <w:rPr>
                <w:color w:val="000000"/>
                <w:szCs w:val="21"/>
              </w:rPr>
            </w:pPr>
            <w:r>
              <w:rPr>
                <w:rFonts w:hint="eastAsia"/>
                <w:color w:val="000000"/>
                <w:szCs w:val="21"/>
              </w:rPr>
              <w:t>　</w:t>
            </w:r>
          </w:p>
        </w:tc>
        <w:tc>
          <w:tcPr>
            <w:tcW w:w="993" w:type="dxa"/>
            <w:tcBorders>
              <w:top w:val="nil"/>
              <w:left w:val="nil"/>
              <w:bottom w:val="single" w:color="auto" w:sz="8" w:space="0"/>
              <w:right w:val="single" w:color="auto" w:sz="8" w:space="0"/>
            </w:tcBorders>
            <w:noWrap/>
            <w:vAlign w:val="center"/>
          </w:tcPr>
          <w:p w14:paraId="21372C13">
            <w:pPr>
              <w:jc w:val="center"/>
              <w:rPr>
                <w:color w:val="000000"/>
                <w:szCs w:val="21"/>
              </w:rPr>
            </w:pPr>
            <w:r>
              <w:rPr>
                <w:rFonts w:hint="eastAsia"/>
                <w:color w:val="000000"/>
                <w:szCs w:val="21"/>
              </w:rPr>
              <w:t>　</w:t>
            </w:r>
          </w:p>
        </w:tc>
        <w:tc>
          <w:tcPr>
            <w:tcW w:w="426" w:type="dxa"/>
            <w:tcBorders>
              <w:top w:val="nil"/>
              <w:left w:val="nil"/>
              <w:bottom w:val="single" w:color="auto" w:sz="8" w:space="0"/>
              <w:right w:val="single" w:color="auto" w:sz="8" w:space="0"/>
            </w:tcBorders>
            <w:noWrap/>
            <w:vAlign w:val="center"/>
          </w:tcPr>
          <w:p w14:paraId="520F8F73">
            <w:pPr>
              <w:jc w:val="center"/>
              <w:rPr>
                <w:color w:val="000000"/>
                <w:szCs w:val="21"/>
              </w:rPr>
            </w:pPr>
            <w:r>
              <w:rPr>
                <w:rFonts w:hint="eastAsia"/>
                <w:color w:val="000000"/>
                <w:szCs w:val="21"/>
              </w:rPr>
              <w:t>　</w:t>
            </w:r>
          </w:p>
        </w:tc>
        <w:tc>
          <w:tcPr>
            <w:tcW w:w="849" w:type="dxa"/>
            <w:tcBorders>
              <w:top w:val="nil"/>
              <w:left w:val="nil"/>
              <w:bottom w:val="single" w:color="auto" w:sz="8" w:space="0"/>
              <w:right w:val="single" w:color="auto" w:sz="8" w:space="0"/>
            </w:tcBorders>
            <w:noWrap/>
            <w:vAlign w:val="center"/>
          </w:tcPr>
          <w:p w14:paraId="3C11E121">
            <w:pPr>
              <w:jc w:val="center"/>
              <w:rPr>
                <w:color w:val="000000"/>
                <w:szCs w:val="21"/>
              </w:rPr>
            </w:pPr>
            <w:r>
              <w:rPr>
                <w:rFonts w:hint="eastAsia"/>
                <w:color w:val="000000"/>
                <w:szCs w:val="21"/>
              </w:rPr>
              <w:t>　</w:t>
            </w:r>
          </w:p>
        </w:tc>
        <w:tc>
          <w:tcPr>
            <w:tcW w:w="1701" w:type="dxa"/>
            <w:tcBorders>
              <w:top w:val="nil"/>
              <w:left w:val="nil"/>
              <w:bottom w:val="single" w:color="auto" w:sz="8" w:space="0"/>
              <w:right w:val="single" w:color="auto" w:sz="8" w:space="0"/>
            </w:tcBorders>
            <w:noWrap/>
            <w:vAlign w:val="center"/>
          </w:tcPr>
          <w:p w14:paraId="568523D8">
            <w:pPr>
              <w:jc w:val="center"/>
              <w:rPr>
                <w:color w:val="000000"/>
                <w:szCs w:val="21"/>
              </w:rPr>
            </w:pPr>
            <w:r>
              <w:rPr>
                <w:rFonts w:hint="eastAsia"/>
                <w:color w:val="000000"/>
                <w:szCs w:val="21"/>
              </w:rPr>
              <w:t>　</w:t>
            </w:r>
          </w:p>
        </w:tc>
        <w:tc>
          <w:tcPr>
            <w:tcW w:w="2268" w:type="dxa"/>
            <w:tcBorders>
              <w:top w:val="nil"/>
              <w:left w:val="nil"/>
              <w:bottom w:val="single" w:color="auto" w:sz="8" w:space="0"/>
              <w:right w:val="single" w:color="auto" w:sz="8" w:space="0"/>
            </w:tcBorders>
            <w:noWrap/>
            <w:vAlign w:val="center"/>
          </w:tcPr>
          <w:p w14:paraId="511F93F2">
            <w:pPr>
              <w:jc w:val="center"/>
              <w:rPr>
                <w:color w:val="000000"/>
                <w:szCs w:val="21"/>
              </w:rPr>
            </w:pPr>
            <w:r>
              <w:rPr>
                <w:rFonts w:hint="eastAsia"/>
                <w:color w:val="000000"/>
                <w:szCs w:val="21"/>
              </w:rPr>
              <w:t>　</w:t>
            </w:r>
          </w:p>
        </w:tc>
      </w:tr>
      <w:tr w14:paraId="02FD48C9">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659BE91C">
            <w:pPr>
              <w:jc w:val="center"/>
              <w:rPr>
                <w:color w:val="000000"/>
                <w:szCs w:val="21"/>
              </w:rPr>
            </w:pPr>
            <w:r>
              <w:rPr>
                <w:rFonts w:hint="eastAsia"/>
                <w:color w:val="000000"/>
                <w:szCs w:val="21"/>
              </w:rPr>
              <w:t>4</w:t>
            </w:r>
          </w:p>
        </w:tc>
        <w:tc>
          <w:tcPr>
            <w:tcW w:w="2977" w:type="dxa"/>
            <w:gridSpan w:val="2"/>
            <w:tcBorders>
              <w:top w:val="single" w:color="auto" w:sz="8" w:space="0"/>
              <w:left w:val="nil"/>
              <w:bottom w:val="single" w:color="auto" w:sz="8" w:space="0"/>
              <w:right w:val="single" w:color="000000" w:sz="8" w:space="0"/>
            </w:tcBorders>
            <w:noWrap/>
            <w:vAlign w:val="center"/>
          </w:tcPr>
          <w:p w14:paraId="381247F6">
            <w:pPr>
              <w:jc w:val="center"/>
              <w:rPr>
                <w:color w:val="000000"/>
                <w:szCs w:val="21"/>
              </w:rPr>
            </w:pPr>
          </w:p>
        </w:tc>
        <w:tc>
          <w:tcPr>
            <w:tcW w:w="993" w:type="dxa"/>
            <w:tcBorders>
              <w:top w:val="nil"/>
              <w:left w:val="nil"/>
              <w:bottom w:val="single" w:color="auto" w:sz="8" w:space="0"/>
              <w:right w:val="single" w:color="auto" w:sz="8" w:space="0"/>
            </w:tcBorders>
            <w:noWrap/>
            <w:vAlign w:val="center"/>
          </w:tcPr>
          <w:p w14:paraId="02B8C458">
            <w:pPr>
              <w:jc w:val="center"/>
              <w:rPr>
                <w:color w:val="000000"/>
                <w:szCs w:val="21"/>
              </w:rPr>
            </w:pPr>
          </w:p>
        </w:tc>
        <w:tc>
          <w:tcPr>
            <w:tcW w:w="426" w:type="dxa"/>
            <w:tcBorders>
              <w:top w:val="nil"/>
              <w:left w:val="nil"/>
              <w:bottom w:val="single" w:color="auto" w:sz="8" w:space="0"/>
              <w:right w:val="single" w:color="auto" w:sz="8" w:space="0"/>
            </w:tcBorders>
            <w:noWrap/>
            <w:vAlign w:val="center"/>
          </w:tcPr>
          <w:p w14:paraId="4CCD9576">
            <w:pPr>
              <w:jc w:val="center"/>
              <w:rPr>
                <w:color w:val="000000"/>
                <w:szCs w:val="21"/>
              </w:rPr>
            </w:pPr>
          </w:p>
        </w:tc>
        <w:tc>
          <w:tcPr>
            <w:tcW w:w="849" w:type="dxa"/>
            <w:tcBorders>
              <w:top w:val="nil"/>
              <w:left w:val="nil"/>
              <w:bottom w:val="single" w:color="auto" w:sz="8" w:space="0"/>
              <w:right w:val="single" w:color="auto" w:sz="8" w:space="0"/>
            </w:tcBorders>
            <w:noWrap/>
            <w:vAlign w:val="center"/>
          </w:tcPr>
          <w:p w14:paraId="20B653C9">
            <w:pPr>
              <w:jc w:val="center"/>
              <w:rPr>
                <w:color w:val="000000"/>
                <w:szCs w:val="21"/>
              </w:rPr>
            </w:pPr>
          </w:p>
        </w:tc>
        <w:tc>
          <w:tcPr>
            <w:tcW w:w="1701" w:type="dxa"/>
            <w:tcBorders>
              <w:top w:val="nil"/>
              <w:left w:val="nil"/>
              <w:bottom w:val="single" w:color="auto" w:sz="8" w:space="0"/>
              <w:right w:val="single" w:color="auto" w:sz="8" w:space="0"/>
            </w:tcBorders>
            <w:noWrap/>
            <w:vAlign w:val="center"/>
          </w:tcPr>
          <w:p w14:paraId="090B83AF">
            <w:pPr>
              <w:jc w:val="center"/>
              <w:rPr>
                <w:color w:val="000000"/>
                <w:szCs w:val="21"/>
              </w:rPr>
            </w:pPr>
          </w:p>
        </w:tc>
        <w:tc>
          <w:tcPr>
            <w:tcW w:w="2268" w:type="dxa"/>
            <w:tcBorders>
              <w:top w:val="nil"/>
              <w:left w:val="nil"/>
              <w:bottom w:val="single" w:color="auto" w:sz="8" w:space="0"/>
              <w:right w:val="single" w:color="auto" w:sz="8" w:space="0"/>
            </w:tcBorders>
            <w:noWrap/>
            <w:vAlign w:val="center"/>
          </w:tcPr>
          <w:p w14:paraId="19CD6FF1">
            <w:pPr>
              <w:jc w:val="center"/>
              <w:rPr>
                <w:color w:val="000000"/>
                <w:szCs w:val="21"/>
              </w:rPr>
            </w:pPr>
          </w:p>
        </w:tc>
      </w:tr>
      <w:tr w14:paraId="038BACD8">
        <w:tblPrEx>
          <w:tblCellMar>
            <w:top w:w="0" w:type="dxa"/>
            <w:left w:w="108" w:type="dxa"/>
            <w:bottom w:w="0" w:type="dxa"/>
            <w:right w:w="108" w:type="dxa"/>
          </w:tblCellMar>
        </w:tblPrEx>
        <w:trPr>
          <w:trHeight w:val="300" w:hRule="atLeast"/>
        </w:trPr>
        <w:tc>
          <w:tcPr>
            <w:tcW w:w="9781" w:type="dxa"/>
            <w:gridSpan w:val="8"/>
            <w:tcBorders>
              <w:top w:val="single" w:color="auto" w:sz="8" w:space="0"/>
              <w:left w:val="single" w:color="auto" w:sz="8" w:space="0"/>
              <w:bottom w:val="single" w:color="auto" w:sz="8" w:space="0"/>
              <w:right w:val="single" w:color="000000" w:sz="8" w:space="0"/>
            </w:tcBorders>
            <w:noWrap/>
            <w:vAlign w:val="center"/>
          </w:tcPr>
          <w:p w14:paraId="7BF9A2E5">
            <w:pPr>
              <w:jc w:val="center"/>
              <w:rPr>
                <w:color w:val="000000"/>
                <w:szCs w:val="21"/>
              </w:rPr>
            </w:pPr>
            <w:r>
              <w:rPr>
                <w:rFonts w:hint="eastAsia"/>
                <w:color w:val="000000"/>
                <w:szCs w:val="21"/>
              </w:rPr>
              <w:t>资格审查情况说明</w:t>
            </w:r>
          </w:p>
        </w:tc>
      </w:tr>
      <w:tr w14:paraId="47AAFFF8">
        <w:tblPrEx>
          <w:tblCellMar>
            <w:top w:w="0" w:type="dxa"/>
            <w:left w:w="108" w:type="dxa"/>
            <w:bottom w:w="0" w:type="dxa"/>
            <w:right w:w="108" w:type="dxa"/>
          </w:tblCellMar>
        </w:tblPrEx>
        <w:trPr>
          <w:trHeight w:val="20" w:hRule="exact"/>
        </w:trPr>
        <w:tc>
          <w:tcPr>
            <w:tcW w:w="567" w:type="dxa"/>
            <w:gridSpan w:val="8"/>
            <w:vMerge w:val="restart"/>
            <w:tcBorders>
              <w:top w:val="single" w:color="auto" w:sz="8" w:space="0"/>
              <w:left w:val="single" w:color="auto" w:sz="8" w:space="0"/>
              <w:bottom w:val="single" w:color="000000" w:sz="8" w:space="0"/>
              <w:right w:val="single" w:color="000000" w:sz="8" w:space="0"/>
            </w:tcBorders>
            <w:noWrap/>
            <w:vAlign w:val="top"/>
          </w:tcPr>
          <w:p w14:paraId="7B0D0896">
            <w:pPr>
              <w:rPr>
                <w:color w:val="000000"/>
                <w:szCs w:val="21"/>
              </w:rPr>
            </w:pPr>
            <w:r>
              <w:rPr>
                <w:rFonts w:hint="eastAsia"/>
                <w:color w:val="000000"/>
                <w:szCs w:val="21"/>
              </w:rPr>
              <w:t>（资质、业绩、技术、能力，投标保证金等方面）</w:t>
            </w:r>
          </w:p>
          <w:p w14:paraId="45596093">
            <w:pPr>
              <w:rPr>
                <w:szCs w:val="21"/>
              </w:rPr>
            </w:pPr>
          </w:p>
          <w:p w14:paraId="6ECFC8DA">
            <w:pPr>
              <w:tabs>
                <w:tab w:val="left" w:pos="3171"/>
              </w:tabs>
              <w:rPr>
                <w:szCs w:val="21"/>
              </w:rPr>
            </w:pPr>
          </w:p>
        </w:tc>
      </w:tr>
      <w:tr w14:paraId="1172813D">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5FB81339">
            <w:pPr>
              <w:rPr>
                <w:color w:val="000000"/>
                <w:szCs w:val="21"/>
              </w:rPr>
            </w:pPr>
          </w:p>
        </w:tc>
      </w:tr>
      <w:tr w14:paraId="254680B3">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4634FB85">
            <w:pPr>
              <w:rPr>
                <w:color w:val="000000"/>
                <w:szCs w:val="21"/>
              </w:rPr>
            </w:pPr>
          </w:p>
        </w:tc>
      </w:tr>
      <w:tr w14:paraId="1EA5F326">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6EA0EF24">
            <w:pPr>
              <w:rPr>
                <w:color w:val="000000"/>
                <w:szCs w:val="21"/>
              </w:rPr>
            </w:pPr>
          </w:p>
        </w:tc>
      </w:tr>
      <w:tr w14:paraId="126878DF">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A126EF2">
            <w:pPr>
              <w:rPr>
                <w:color w:val="000000"/>
                <w:szCs w:val="21"/>
              </w:rPr>
            </w:pPr>
          </w:p>
        </w:tc>
      </w:tr>
      <w:tr w14:paraId="100A001C">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8BF8DE1">
            <w:pPr>
              <w:rPr>
                <w:color w:val="000000"/>
                <w:szCs w:val="21"/>
              </w:rPr>
            </w:pPr>
          </w:p>
        </w:tc>
      </w:tr>
      <w:tr w14:paraId="58CD9BDC">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1C081ACB">
            <w:pPr>
              <w:rPr>
                <w:color w:val="000000"/>
                <w:szCs w:val="21"/>
              </w:rPr>
            </w:pPr>
          </w:p>
        </w:tc>
      </w:tr>
      <w:tr w14:paraId="5003881D">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69ECCA5A">
            <w:pPr>
              <w:rPr>
                <w:color w:val="000000"/>
                <w:szCs w:val="21"/>
              </w:rPr>
            </w:pPr>
          </w:p>
        </w:tc>
      </w:tr>
      <w:tr w14:paraId="2DAB45D4">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48227F9">
            <w:pPr>
              <w:rPr>
                <w:color w:val="000000"/>
                <w:szCs w:val="21"/>
              </w:rPr>
            </w:pPr>
          </w:p>
        </w:tc>
      </w:tr>
      <w:tr w14:paraId="10C9E41A">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46C3F044">
            <w:pPr>
              <w:rPr>
                <w:color w:val="000000"/>
                <w:szCs w:val="21"/>
              </w:rPr>
            </w:pPr>
          </w:p>
        </w:tc>
      </w:tr>
      <w:tr w14:paraId="6DF1E3B6">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6F70DA4">
            <w:pPr>
              <w:rPr>
                <w:color w:val="000000"/>
                <w:szCs w:val="21"/>
              </w:rPr>
            </w:pPr>
          </w:p>
        </w:tc>
      </w:tr>
      <w:tr w14:paraId="0E607CDA">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E0EC0D4">
            <w:pPr>
              <w:rPr>
                <w:color w:val="000000"/>
                <w:szCs w:val="21"/>
              </w:rPr>
            </w:pPr>
          </w:p>
        </w:tc>
      </w:tr>
      <w:tr w14:paraId="1EA0BC97">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039D14B">
            <w:pPr>
              <w:rPr>
                <w:color w:val="000000"/>
                <w:szCs w:val="21"/>
              </w:rPr>
            </w:pPr>
          </w:p>
        </w:tc>
      </w:tr>
      <w:tr w14:paraId="34FB784D">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C56C060">
            <w:pPr>
              <w:rPr>
                <w:color w:val="000000"/>
                <w:szCs w:val="21"/>
              </w:rPr>
            </w:pPr>
          </w:p>
        </w:tc>
      </w:tr>
      <w:tr w14:paraId="09534DE4">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28CD2F9F">
            <w:pPr>
              <w:rPr>
                <w:color w:val="000000"/>
                <w:szCs w:val="21"/>
              </w:rPr>
            </w:pPr>
          </w:p>
        </w:tc>
      </w:tr>
      <w:tr w14:paraId="28FE1FF5">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444FD226">
            <w:pPr>
              <w:rPr>
                <w:color w:val="000000"/>
                <w:szCs w:val="21"/>
              </w:rPr>
            </w:pPr>
          </w:p>
        </w:tc>
      </w:tr>
      <w:tr w14:paraId="20F69594">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0D8FB44D">
            <w:pPr>
              <w:rPr>
                <w:color w:val="000000"/>
                <w:szCs w:val="21"/>
              </w:rPr>
            </w:pPr>
          </w:p>
        </w:tc>
      </w:tr>
      <w:tr w14:paraId="2BA29AF2">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309CC3D">
            <w:pPr>
              <w:rPr>
                <w:color w:val="000000"/>
                <w:szCs w:val="21"/>
              </w:rPr>
            </w:pPr>
          </w:p>
        </w:tc>
      </w:tr>
      <w:tr w14:paraId="489B3E88">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1D08CC66">
            <w:pPr>
              <w:rPr>
                <w:color w:val="000000"/>
                <w:szCs w:val="21"/>
              </w:rPr>
            </w:pPr>
          </w:p>
        </w:tc>
      </w:tr>
      <w:tr w14:paraId="4A45C412">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0A7DC045">
            <w:pPr>
              <w:rPr>
                <w:color w:val="000000"/>
                <w:szCs w:val="21"/>
              </w:rPr>
            </w:pPr>
          </w:p>
        </w:tc>
      </w:tr>
      <w:tr w14:paraId="44391DAA">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0E2EE2A2">
            <w:pPr>
              <w:rPr>
                <w:color w:val="000000"/>
                <w:szCs w:val="21"/>
              </w:rPr>
            </w:pPr>
          </w:p>
        </w:tc>
      </w:tr>
      <w:tr w14:paraId="125D315D">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5D78AB9">
            <w:pPr>
              <w:rPr>
                <w:color w:val="000000"/>
                <w:szCs w:val="21"/>
              </w:rPr>
            </w:pPr>
          </w:p>
        </w:tc>
      </w:tr>
      <w:tr w14:paraId="75ADB955">
        <w:tblPrEx>
          <w:tblCellMar>
            <w:top w:w="0" w:type="dxa"/>
            <w:left w:w="108" w:type="dxa"/>
            <w:bottom w:w="0" w:type="dxa"/>
            <w:right w:w="108" w:type="dxa"/>
          </w:tblCellMar>
        </w:tblPrEx>
        <w:trPr>
          <w:trHeight w:val="312" w:hRule="atLeast"/>
        </w:trPr>
        <w:tc>
          <w:tcPr>
            <w:tcW w:w="1843" w:type="dxa"/>
            <w:gridSpan w:val="2"/>
            <w:vMerge w:val="restart"/>
            <w:tcBorders>
              <w:top w:val="single" w:color="000000" w:sz="8" w:space="0"/>
              <w:left w:val="single" w:color="auto" w:sz="8" w:space="0"/>
              <w:bottom w:val="single" w:color="000000" w:sz="8" w:space="0"/>
              <w:right w:val="single" w:color="000000" w:sz="8" w:space="0"/>
            </w:tcBorders>
            <w:noWrap/>
            <w:vAlign w:val="center"/>
          </w:tcPr>
          <w:p w14:paraId="27FED8DF">
            <w:pPr>
              <w:jc w:val="center"/>
              <w:rPr>
                <w:color w:val="000000"/>
                <w:szCs w:val="21"/>
              </w:rPr>
            </w:pPr>
            <w:r>
              <w:rPr>
                <w:rFonts w:hint="eastAsia"/>
                <w:color w:val="000000"/>
                <w:szCs w:val="21"/>
              </w:rPr>
              <w:t>资格审查人员</w:t>
            </w:r>
          </w:p>
        </w:tc>
        <w:tc>
          <w:tcPr>
            <w:tcW w:w="7938" w:type="dxa"/>
            <w:gridSpan w:val="6"/>
            <w:vMerge w:val="restart"/>
            <w:tcBorders>
              <w:top w:val="single" w:color="000000" w:sz="8" w:space="0"/>
              <w:left w:val="single" w:color="auto" w:sz="8" w:space="0"/>
              <w:bottom w:val="single" w:color="000000" w:sz="8" w:space="0"/>
              <w:right w:val="single" w:color="000000" w:sz="8" w:space="0"/>
            </w:tcBorders>
            <w:noWrap/>
            <w:vAlign w:val="center"/>
          </w:tcPr>
          <w:p w14:paraId="6EC6F9DC">
            <w:pPr>
              <w:jc w:val="center"/>
              <w:rPr>
                <w:color w:val="000000"/>
                <w:szCs w:val="21"/>
              </w:rPr>
            </w:pPr>
            <w:r>
              <w:rPr>
                <w:rFonts w:hint="eastAsia"/>
                <w:color w:val="000000"/>
                <w:szCs w:val="21"/>
              </w:rPr>
              <w:t>　</w:t>
            </w:r>
          </w:p>
        </w:tc>
      </w:tr>
      <w:tr w14:paraId="79898161">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000000" w:sz="8" w:space="0"/>
              <w:right w:val="single" w:color="000000" w:sz="8" w:space="0"/>
            </w:tcBorders>
            <w:noWrap w:val="0"/>
            <w:vAlign w:val="center"/>
          </w:tcPr>
          <w:p w14:paraId="6F8770D4">
            <w:pPr>
              <w:rPr>
                <w:color w:val="000000"/>
                <w:szCs w:val="21"/>
              </w:rPr>
            </w:pPr>
          </w:p>
        </w:tc>
        <w:tc>
          <w:tcPr>
            <w:tcW w:w="7938" w:type="dxa"/>
            <w:gridSpan w:val="6"/>
            <w:vMerge w:val="continue"/>
            <w:tcBorders>
              <w:top w:val="single" w:color="000000" w:sz="8" w:space="0"/>
              <w:left w:val="single" w:color="auto" w:sz="8" w:space="0"/>
              <w:bottom w:val="single" w:color="000000" w:sz="8" w:space="0"/>
              <w:right w:val="single" w:color="000000" w:sz="8" w:space="0"/>
            </w:tcBorders>
            <w:noWrap w:val="0"/>
            <w:vAlign w:val="center"/>
          </w:tcPr>
          <w:p w14:paraId="0016AB2A">
            <w:pPr>
              <w:rPr>
                <w:color w:val="000000"/>
                <w:szCs w:val="21"/>
              </w:rPr>
            </w:pPr>
          </w:p>
        </w:tc>
      </w:tr>
      <w:tr w14:paraId="07EF739A">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000000" w:sz="8" w:space="0"/>
              <w:right w:val="single" w:color="000000" w:sz="8" w:space="0"/>
            </w:tcBorders>
            <w:noWrap w:val="0"/>
            <w:vAlign w:val="center"/>
          </w:tcPr>
          <w:p w14:paraId="0C5E71DA">
            <w:pPr>
              <w:rPr>
                <w:color w:val="000000"/>
                <w:szCs w:val="21"/>
              </w:rPr>
            </w:pPr>
          </w:p>
        </w:tc>
        <w:tc>
          <w:tcPr>
            <w:tcW w:w="7938" w:type="dxa"/>
            <w:gridSpan w:val="6"/>
            <w:vMerge w:val="continue"/>
            <w:tcBorders>
              <w:top w:val="single" w:color="000000" w:sz="8" w:space="0"/>
              <w:left w:val="single" w:color="auto" w:sz="8" w:space="0"/>
              <w:bottom w:val="single" w:color="000000" w:sz="8" w:space="0"/>
              <w:right w:val="single" w:color="000000" w:sz="8" w:space="0"/>
            </w:tcBorders>
            <w:noWrap w:val="0"/>
            <w:vAlign w:val="center"/>
          </w:tcPr>
          <w:p w14:paraId="55F071AF">
            <w:pPr>
              <w:rPr>
                <w:color w:val="000000"/>
                <w:szCs w:val="21"/>
              </w:rPr>
            </w:pPr>
          </w:p>
        </w:tc>
      </w:tr>
      <w:tr w14:paraId="1447A2CD">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000000" w:sz="8" w:space="0"/>
              <w:right w:val="single" w:color="000000" w:sz="8" w:space="0"/>
            </w:tcBorders>
            <w:noWrap w:val="0"/>
            <w:vAlign w:val="center"/>
          </w:tcPr>
          <w:p w14:paraId="03B0E36A">
            <w:pPr>
              <w:rPr>
                <w:color w:val="000000"/>
                <w:szCs w:val="21"/>
              </w:rPr>
            </w:pPr>
          </w:p>
        </w:tc>
        <w:tc>
          <w:tcPr>
            <w:tcW w:w="7938" w:type="dxa"/>
            <w:gridSpan w:val="6"/>
            <w:vMerge w:val="continue"/>
            <w:tcBorders>
              <w:top w:val="single" w:color="000000" w:sz="8" w:space="0"/>
              <w:left w:val="single" w:color="auto" w:sz="8" w:space="0"/>
              <w:bottom w:val="single" w:color="000000" w:sz="8" w:space="0"/>
              <w:right w:val="single" w:color="000000" w:sz="8" w:space="0"/>
            </w:tcBorders>
            <w:noWrap w:val="0"/>
            <w:vAlign w:val="center"/>
          </w:tcPr>
          <w:p w14:paraId="37029251">
            <w:pPr>
              <w:rPr>
                <w:color w:val="000000"/>
                <w:szCs w:val="21"/>
              </w:rPr>
            </w:pPr>
          </w:p>
        </w:tc>
      </w:tr>
      <w:tr w14:paraId="6EF1F35F">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auto" w:sz="4" w:space="0"/>
              <w:right w:val="single" w:color="000000" w:sz="8" w:space="0"/>
            </w:tcBorders>
            <w:noWrap w:val="0"/>
            <w:vAlign w:val="center"/>
          </w:tcPr>
          <w:p w14:paraId="7375B177">
            <w:pPr>
              <w:rPr>
                <w:color w:val="000000"/>
                <w:szCs w:val="21"/>
              </w:rPr>
            </w:pPr>
          </w:p>
        </w:tc>
        <w:tc>
          <w:tcPr>
            <w:tcW w:w="7938" w:type="dxa"/>
            <w:gridSpan w:val="6"/>
            <w:vMerge w:val="continue"/>
            <w:tcBorders>
              <w:top w:val="single" w:color="000000" w:sz="8" w:space="0"/>
              <w:left w:val="single" w:color="auto" w:sz="8" w:space="0"/>
              <w:bottom w:val="single" w:color="auto" w:sz="4" w:space="0"/>
              <w:right w:val="single" w:color="000000" w:sz="8" w:space="0"/>
            </w:tcBorders>
            <w:noWrap w:val="0"/>
            <w:vAlign w:val="center"/>
          </w:tcPr>
          <w:p w14:paraId="6DA5E47A">
            <w:pPr>
              <w:rPr>
                <w:color w:val="000000"/>
                <w:szCs w:val="21"/>
              </w:rPr>
            </w:pPr>
          </w:p>
        </w:tc>
      </w:tr>
      <w:tr w14:paraId="48655693">
        <w:tblPrEx>
          <w:tblCellMar>
            <w:top w:w="0" w:type="dxa"/>
            <w:left w:w="108" w:type="dxa"/>
            <w:bottom w:w="0" w:type="dxa"/>
            <w:right w:w="108" w:type="dxa"/>
          </w:tblCellMar>
        </w:tblPrEx>
        <w:trPr>
          <w:trHeight w:val="558" w:hRule="atLeast"/>
        </w:trPr>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21CC1142">
            <w:pPr>
              <w:jc w:val="center"/>
              <w:rPr>
                <w:color w:val="000000"/>
                <w:szCs w:val="21"/>
              </w:rPr>
            </w:pPr>
            <w:r>
              <w:rPr>
                <w:rFonts w:hint="eastAsia"/>
                <w:color w:val="000000"/>
                <w:sz w:val="22"/>
              </w:rPr>
              <w:t>工作人员</w:t>
            </w:r>
          </w:p>
        </w:tc>
        <w:tc>
          <w:tcPr>
            <w:tcW w:w="7938" w:type="dxa"/>
            <w:gridSpan w:val="6"/>
            <w:tcBorders>
              <w:top w:val="single" w:color="auto" w:sz="4" w:space="0"/>
              <w:left w:val="single" w:color="auto" w:sz="4" w:space="0"/>
              <w:bottom w:val="single" w:color="auto" w:sz="4" w:space="0"/>
              <w:right w:val="single" w:color="auto" w:sz="4" w:space="0"/>
            </w:tcBorders>
            <w:noWrap w:val="0"/>
            <w:vAlign w:val="center"/>
          </w:tcPr>
          <w:p w14:paraId="01A38400">
            <w:pPr>
              <w:rPr>
                <w:color w:val="000000"/>
                <w:szCs w:val="21"/>
              </w:rPr>
            </w:pPr>
            <w:r>
              <w:rPr>
                <w:rFonts w:hint="eastAsia"/>
                <w:color w:val="000000"/>
                <w:sz w:val="22"/>
              </w:rPr>
              <w:t>　</w:t>
            </w:r>
          </w:p>
        </w:tc>
      </w:tr>
    </w:tbl>
    <w:p w14:paraId="71FE6643">
      <w:pPr>
        <w:pStyle w:val="64"/>
        <w:ind w:left="0" w:firstLine="0"/>
        <w:rPr>
          <w:rFonts w:hint="eastAsia" w:cs="宋体"/>
          <w:b w:val="0"/>
          <w:bCs w:val="0"/>
          <w:sz w:val="30"/>
          <w:szCs w:val="30"/>
        </w:rPr>
      </w:pPr>
      <w:r>
        <w:rPr>
          <w:color w:val="000000"/>
          <w:szCs w:val="21"/>
        </w:rPr>
        <w:br w:type="page"/>
      </w:r>
      <w:r>
        <w:rPr>
          <w:rFonts w:hint="eastAsia" w:cs="宋体"/>
          <w:b w:val="0"/>
          <w:bCs w:val="0"/>
          <w:sz w:val="30"/>
          <w:szCs w:val="30"/>
        </w:rPr>
        <w:t>2. 评分表</w:t>
      </w:r>
    </w:p>
    <w:p w14:paraId="210B643C">
      <w:pPr>
        <w:pStyle w:val="64"/>
        <w:tabs>
          <w:tab w:val="left" w:pos="2342"/>
        </w:tabs>
        <w:jc w:val="both"/>
      </w:pPr>
      <w:r>
        <w:tab/>
      </w:r>
      <w:r>
        <w:tab/>
      </w:r>
    </w:p>
    <w:tbl>
      <w:tblPr>
        <w:tblStyle w:val="46"/>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190"/>
        <w:gridCol w:w="5994"/>
      </w:tblGrid>
      <w:tr w14:paraId="54A2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noWrap w:val="0"/>
            <w:vAlign w:val="center"/>
          </w:tcPr>
          <w:p w14:paraId="3C52453C">
            <w:pPr>
              <w:jc w:val="center"/>
              <w:rPr>
                <w:rFonts w:cs="仿宋"/>
                <w:b/>
              </w:rPr>
            </w:pPr>
            <w:r>
              <w:rPr>
                <w:rFonts w:hint="eastAsia" w:cs="仿宋"/>
                <w:b/>
              </w:rPr>
              <w:t>项目</w:t>
            </w:r>
          </w:p>
        </w:tc>
        <w:tc>
          <w:tcPr>
            <w:tcW w:w="2190" w:type="dxa"/>
            <w:noWrap w:val="0"/>
            <w:vAlign w:val="center"/>
          </w:tcPr>
          <w:p w14:paraId="4C3F2FB4">
            <w:pPr>
              <w:jc w:val="center"/>
              <w:rPr>
                <w:rFonts w:hint="eastAsia" w:cs="仿宋"/>
                <w:b/>
              </w:rPr>
            </w:pPr>
            <w:r>
              <w:rPr>
                <w:rFonts w:hint="eastAsia" w:cs="仿宋"/>
                <w:b/>
              </w:rPr>
              <w:t>分值</w:t>
            </w:r>
          </w:p>
        </w:tc>
        <w:tc>
          <w:tcPr>
            <w:tcW w:w="5994" w:type="dxa"/>
            <w:noWrap w:val="0"/>
            <w:vAlign w:val="center"/>
          </w:tcPr>
          <w:p w14:paraId="5BA5CFDC">
            <w:pPr>
              <w:spacing w:line="360" w:lineRule="auto"/>
              <w:jc w:val="center"/>
              <w:rPr>
                <w:rFonts w:cs="仿宋"/>
                <w:b/>
              </w:rPr>
            </w:pPr>
            <w:r>
              <w:rPr>
                <w:rFonts w:hint="eastAsia" w:cs="仿宋"/>
                <w:b/>
              </w:rPr>
              <w:t>评分细则</w:t>
            </w:r>
          </w:p>
        </w:tc>
      </w:tr>
      <w:tr w14:paraId="5B3F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71" w:type="dxa"/>
            <w:noWrap w:val="0"/>
            <w:vAlign w:val="center"/>
          </w:tcPr>
          <w:p w14:paraId="7442D920">
            <w:pPr>
              <w:jc w:val="center"/>
              <w:rPr>
                <w:rFonts w:hint="eastAsia"/>
                <w:lang w:val="en-US" w:eastAsia="zh-CN"/>
              </w:rPr>
            </w:pPr>
            <w:r>
              <w:rPr>
                <w:rFonts w:hint="eastAsia"/>
                <w:lang w:val="en-US" w:eastAsia="zh-CN"/>
              </w:rPr>
              <w:t>业绩</w:t>
            </w:r>
          </w:p>
        </w:tc>
        <w:tc>
          <w:tcPr>
            <w:tcW w:w="2190" w:type="dxa"/>
            <w:noWrap w:val="0"/>
            <w:vAlign w:val="center"/>
          </w:tcPr>
          <w:p w14:paraId="1A4C4DF7">
            <w:pPr>
              <w:jc w:val="center"/>
              <w:rPr>
                <w:rFonts w:cs="仿宋"/>
                <w:bCs/>
              </w:rPr>
            </w:pPr>
            <w:r>
              <w:rPr>
                <w:rFonts w:hint="eastAsia" w:cs="仿宋"/>
                <w:bCs/>
                <w:lang w:val="en-US" w:eastAsia="zh-CN"/>
              </w:rPr>
              <w:t>5</w:t>
            </w:r>
            <w:r>
              <w:rPr>
                <w:rFonts w:hint="eastAsia" w:cs="仿宋"/>
                <w:bCs/>
              </w:rPr>
              <w:t>分</w:t>
            </w:r>
          </w:p>
        </w:tc>
        <w:tc>
          <w:tcPr>
            <w:tcW w:w="5994" w:type="dxa"/>
            <w:noWrap w:val="0"/>
            <w:vAlign w:val="center"/>
          </w:tcPr>
          <w:p w14:paraId="09306033">
            <w:pPr>
              <w:rPr>
                <w:rFonts w:hint="default" w:eastAsia="宋体" w:cs="仿宋"/>
                <w:bCs/>
                <w:lang w:val="en-US" w:eastAsia="zh-CN"/>
              </w:rPr>
            </w:pPr>
            <w:r>
              <w:rPr>
                <w:rFonts w:hint="eastAsia" w:cs="仿宋"/>
                <w:bCs/>
                <w:lang w:val="en-US" w:eastAsia="zh-CN"/>
              </w:rPr>
              <w:t>以五份业绩为基准，每多提供一份高压电机维修业绩（2023年6月1日至今）得1分，最高5分</w:t>
            </w:r>
          </w:p>
        </w:tc>
      </w:tr>
      <w:tr w14:paraId="1131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71" w:type="dxa"/>
            <w:noWrap w:val="0"/>
            <w:vAlign w:val="center"/>
          </w:tcPr>
          <w:p w14:paraId="15C8214C">
            <w:pPr>
              <w:pStyle w:val="45"/>
              <w:ind w:left="0" w:leftChars="0" w:firstLine="0" w:firstLineChars="0"/>
              <w:jc w:val="center"/>
              <w:rPr>
                <w:rFonts w:hint="default" w:cs="仿宋"/>
                <w:bCs/>
                <w:lang w:val="en-US" w:eastAsia="zh-CN"/>
              </w:rPr>
            </w:pPr>
            <w:r>
              <w:rPr>
                <w:rFonts w:hint="eastAsia" w:cs="仿宋"/>
                <w:bCs/>
                <w:lang w:val="en-US" w:eastAsia="zh-CN"/>
              </w:rPr>
              <w:t>维修时间</w:t>
            </w:r>
          </w:p>
        </w:tc>
        <w:tc>
          <w:tcPr>
            <w:tcW w:w="2190" w:type="dxa"/>
            <w:noWrap w:val="0"/>
            <w:vAlign w:val="center"/>
          </w:tcPr>
          <w:p w14:paraId="477B6E80">
            <w:pPr>
              <w:jc w:val="center"/>
              <w:rPr>
                <w:rFonts w:hint="default" w:eastAsia="宋体" w:cs="仿宋"/>
                <w:bCs/>
                <w:lang w:val="en-US" w:eastAsia="zh-CN"/>
              </w:rPr>
            </w:pPr>
            <w:r>
              <w:rPr>
                <w:rFonts w:hint="eastAsia" w:cs="仿宋"/>
                <w:bCs/>
                <w:lang w:val="en-US" w:eastAsia="zh-CN"/>
              </w:rPr>
              <w:t>5分</w:t>
            </w:r>
          </w:p>
        </w:tc>
        <w:tc>
          <w:tcPr>
            <w:tcW w:w="5994" w:type="dxa"/>
            <w:noWrap w:val="0"/>
            <w:vAlign w:val="center"/>
          </w:tcPr>
          <w:p w14:paraId="4BE7468A">
            <w:pPr>
              <w:rPr>
                <w:rFonts w:hint="default" w:cs="仿宋"/>
                <w:bCs/>
                <w:lang w:val="en-US" w:eastAsia="zh-CN"/>
              </w:rPr>
            </w:pPr>
            <w:r>
              <w:rPr>
                <w:rFonts w:hint="eastAsia" w:cs="仿宋"/>
                <w:bCs/>
                <w:lang w:val="en-US" w:eastAsia="zh-CN"/>
              </w:rPr>
              <w:t>单次维修周期以10日历天为基础，每缩短一天得1分，最高5分</w:t>
            </w:r>
          </w:p>
        </w:tc>
      </w:tr>
      <w:tr w14:paraId="5950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1271" w:type="dxa"/>
            <w:noWrap w:val="0"/>
            <w:vAlign w:val="center"/>
          </w:tcPr>
          <w:p w14:paraId="6318BFDB">
            <w:pPr>
              <w:jc w:val="center"/>
              <w:rPr>
                <w:rFonts w:cs="仿宋"/>
                <w:bCs/>
              </w:rPr>
            </w:pPr>
            <w:r>
              <w:rPr>
                <w:rFonts w:hint="eastAsia" w:cs="仿宋"/>
                <w:bCs/>
                <w:lang w:val="en-US" w:eastAsia="zh-CN"/>
              </w:rPr>
              <w:t>综合</w:t>
            </w:r>
            <w:r>
              <w:rPr>
                <w:rFonts w:hint="eastAsia" w:cs="仿宋"/>
                <w:bCs/>
              </w:rPr>
              <w:t>评分</w:t>
            </w:r>
          </w:p>
        </w:tc>
        <w:tc>
          <w:tcPr>
            <w:tcW w:w="2190" w:type="dxa"/>
            <w:noWrap w:val="0"/>
            <w:vAlign w:val="center"/>
          </w:tcPr>
          <w:p w14:paraId="192DAA65">
            <w:pPr>
              <w:jc w:val="center"/>
              <w:rPr>
                <w:rFonts w:hint="default" w:eastAsia="宋体" w:cs="仿宋"/>
                <w:bCs/>
                <w:lang w:val="en-US" w:eastAsia="zh-CN"/>
              </w:rPr>
            </w:pPr>
            <w:r>
              <w:rPr>
                <w:rFonts w:hint="eastAsia" w:cs="仿宋"/>
                <w:bCs/>
                <w:lang w:val="en-US" w:eastAsia="zh-CN"/>
              </w:rPr>
              <w:t>10分</w:t>
            </w:r>
          </w:p>
        </w:tc>
        <w:tc>
          <w:tcPr>
            <w:tcW w:w="5994" w:type="dxa"/>
            <w:noWrap w:val="0"/>
            <w:vAlign w:val="center"/>
          </w:tcPr>
          <w:p w14:paraId="5B492F85">
            <w:pPr>
              <w:rPr>
                <w:rFonts w:hint="default" w:cs="仿宋"/>
                <w:bCs/>
                <w:lang w:val="en-US" w:eastAsia="zh-CN"/>
              </w:rPr>
            </w:pPr>
            <w:r>
              <w:rPr>
                <w:rFonts w:hint="eastAsia" w:cs="仿宋"/>
                <w:bCs/>
                <w:lang w:val="en-US" w:eastAsia="zh-CN"/>
              </w:rPr>
              <w:t>评委根据投标方的企业情况、服务响应程度、维修所用材料的品牌质量、单价与市场的偏离度等综合打分，最高10分</w:t>
            </w:r>
          </w:p>
        </w:tc>
      </w:tr>
      <w:tr w14:paraId="7BA81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8" w:hRule="atLeast"/>
          <w:jc w:val="center"/>
        </w:trPr>
        <w:tc>
          <w:tcPr>
            <w:tcW w:w="1271" w:type="dxa"/>
            <w:noWrap w:val="0"/>
            <w:vAlign w:val="center"/>
          </w:tcPr>
          <w:p w14:paraId="538CB5B1">
            <w:pPr>
              <w:jc w:val="center"/>
              <w:rPr>
                <w:rFonts w:hint="eastAsia" w:eastAsia="宋体"/>
                <w:lang w:eastAsia="zh-CN"/>
              </w:rPr>
            </w:pPr>
            <w:r>
              <w:rPr>
                <w:rFonts w:hint="eastAsia"/>
              </w:rPr>
              <w:t>投标报价</w:t>
            </w:r>
            <w:r>
              <w:rPr>
                <w:rFonts w:hint="eastAsia"/>
                <w:lang w:val="en-US" w:eastAsia="zh-CN"/>
              </w:rPr>
              <w:t>评分</w:t>
            </w:r>
          </w:p>
        </w:tc>
        <w:tc>
          <w:tcPr>
            <w:tcW w:w="2190" w:type="dxa"/>
            <w:noWrap w:val="0"/>
            <w:vAlign w:val="center"/>
          </w:tcPr>
          <w:p w14:paraId="68B814CD">
            <w:pPr>
              <w:spacing w:line="360" w:lineRule="auto"/>
              <w:jc w:val="center"/>
              <w:rPr>
                <w:rFonts w:cs="仿宋"/>
                <w:bCs/>
              </w:rPr>
            </w:pPr>
            <w:r>
              <w:rPr>
                <w:rFonts w:hint="eastAsia" w:cs="仿宋"/>
                <w:bCs/>
                <w:lang w:val="en-US" w:eastAsia="zh-CN"/>
              </w:rPr>
              <w:t>80</w:t>
            </w:r>
            <w:r>
              <w:rPr>
                <w:rFonts w:hint="eastAsia" w:cs="仿宋"/>
                <w:bCs/>
              </w:rPr>
              <w:t>分</w:t>
            </w:r>
          </w:p>
        </w:tc>
        <w:tc>
          <w:tcPr>
            <w:tcW w:w="5994" w:type="dxa"/>
            <w:noWrap w:val="0"/>
            <w:vAlign w:val="center"/>
          </w:tcPr>
          <w:p w14:paraId="7CC6CD89">
            <w:pPr>
              <w:tabs>
                <w:tab w:val="right" w:pos="8306"/>
              </w:tabs>
              <w:spacing w:line="400" w:lineRule="exact"/>
              <w:ind w:left="-2" w:leftChars="-1"/>
              <w:rPr>
                <w:rFonts w:cs="仿宋"/>
                <w:bCs/>
              </w:rPr>
            </w:pPr>
            <w:r>
              <w:rPr>
                <w:rFonts w:hint="eastAsia" w:cs="仿宋"/>
                <w:bCs/>
              </w:rPr>
              <w:t>1.评标基准价为有效投标人的最低报价值。</w:t>
            </w:r>
          </w:p>
          <w:p w14:paraId="792D4596">
            <w:pPr>
              <w:tabs>
                <w:tab w:val="right" w:pos="8306"/>
              </w:tabs>
              <w:spacing w:line="400" w:lineRule="exact"/>
              <w:rPr>
                <w:rFonts w:ascii="宋体" w:hAnsi="宋体" w:cs="仿宋"/>
                <w:bCs/>
                <w:kern w:val="0"/>
                <w:sz w:val="24"/>
              </w:rPr>
            </w:pPr>
            <w:r>
              <w:rPr>
                <w:rFonts w:hint="eastAsia" w:cs="仿宋"/>
                <w:bCs/>
              </w:rPr>
              <w:t>2.投标报价分值=评标基准价/投标报价*</w:t>
            </w:r>
            <w:r>
              <w:rPr>
                <w:rFonts w:hint="eastAsia" w:cs="仿宋"/>
                <w:bCs/>
                <w:lang w:val="en-US" w:eastAsia="zh-CN"/>
              </w:rPr>
              <w:t>80</w:t>
            </w:r>
            <w:r>
              <w:rPr>
                <w:rFonts w:hint="eastAsia" w:cs="仿宋"/>
                <w:bCs/>
              </w:rPr>
              <w:t>（最高</w:t>
            </w:r>
            <w:r>
              <w:rPr>
                <w:rFonts w:hint="eastAsia" w:cs="仿宋"/>
                <w:bCs/>
                <w:lang w:val="en-US" w:eastAsia="zh-CN"/>
              </w:rPr>
              <w:t>80</w:t>
            </w:r>
            <w:r>
              <w:rPr>
                <w:rFonts w:hint="eastAsia" w:cs="仿宋"/>
                <w:bCs/>
              </w:rPr>
              <w:t>分）</w:t>
            </w:r>
          </w:p>
        </w:tc>
      </w:tr>
    </w:tbl>
    <w:p w14:paraId="7627A021">
      <w:pPr>
        <w:pStyle w:val="57"/>
        <w:widowControl/>
        <w:spacing w:beforeLines="0" w:line="300" w:lineRule="auto"/>
        <w:ind w:left="1233" w:leftChars="514" w:firstLine="660" w:firstLineChars="150"/>
        <w:jc w:val="both"/>
        <w:rPr>
          <w:color w:val="000000"/>
          <w:kern w:val="0"/>
          <w:szCs w:val="21"/>
        </w:rPr>
      </w:pPr>
    </w:p>
    <w:p w14:paraId="44FEB254">
      <w:pPr>
        <w:spacing w:before="156" w:beforeLines="50" w:after="156" w:afterLines="50" w:line="480" w:lineRule="exact"/>
        <w:jc w:val="center"/>
        <w:rPr>
          <w:rFonts w:ascii="宋体" w:hAnsi="宋体"/>
          <w:color w:val="000000"/>
          <w:sz w:val="28"/>
          <w:szCs w:val="28"/>
        </w:rPr>
      </w:pPr>
      <w:r>
        <w:rPr>
          <w:rFonts w:hint="eastAsia" w:ascii="宋体" w:hAnsi="宋体"/>
          <w:color w:val="000000"/>
          <w:sz w:val="28"/>
          <w:szCs w:val="28"/>
        </w:rPr>
        <w:t>废 标 条 件</w:t>
      </w:r>
    </w:p>
    <w:p w14:paraId="74D88F3F">
      <w:pPr>
        <w:spacing w:before="156" w:beforeLines="50" w:after="156" w:afterLines="50" w:line="480" w:lineRule="exact"/>
        <w:jc w:val="left"/>
        <w:rPr>
          <w:rFonts w:ascii="宋体" w:hAnsi="宋体"/>
          <w:color w:val="000000"/>
          <w:szCs w:val="21"/>
        </w:rPr>
      </w:pPr>
      <w:r>
        <w:rPr>
          <w:rFonts w:hint="eastAsia" w:ascii="宋体" w:hAnsi="宋体"/>
          <w:color w:val="000000"/>
          <w:szCs w:val="21"/>
        </w:rPr>
        <w:t>B0.总则</w:t>
      </w:r>
    </w:p>
    <w:p w14:paraId="05EEC6A2">
      <w:pPr>
        <w:spacing w:before="156" w:beforeLines="50" w:after="156" w:afterLines="50" w:line="480" w:lineRule="exact"/>
        <w:ind w:firstLine="480" w:firstLineChars="200"/>
        <w:jc w:val="left"/>
        <w:rPr>
          <w:rFonts w:ascii="宋体" w:hAnsi="宋体"/>
          <w:color w:val="000000"/>
          <w:szCs w:val="21"/>
        </w:rPr>
      </w:pPr>
      <w:r>
        <w:rPr>
          <w:rFonts w:hint="eastAsia" w:ascii="宋体" w:hAnsi="宋体"/>
          <w:color w:val="000000"/>
          <w:szCs w:val="21"/>
        </w:rPr>
        <w:t>本附件所集中列示的废标条件，是本章“评标办法”的组成部分，是对第二章“投标人须知”和本章正文部分所规定的废标条件的总结和补充。</w:t>
      </w:r>
    </w:p>
    <w:p w14:paraId="5200AF46">
      <w:pPr>
        <w:spacing w:line="480" w:lineRule="exact"/>
        <w:jc w:val="left"/>
        <w:rPr>
          <w:rFonts w:ascii="宋体" w:hAnsi="宋体"/>
          <w:color w:val="000000"/>
          <w:szCs w:val="21"/>
        </w:rPr>
      </w:pPr>
      <w:r>
        <w:rPr>
          <w:rFonts w:hint="eastAsia" w:ascii="宋体" w:hAnsi="宋体"/>
          <w:color w:val="000000"/>
          <w:szCs w:val="21"/>
        </w:rPr>
        <w:t xml:space="preserve">B1.废标条件 </w:t>
      </w:r>
    </w:p>
    <w:p w14:paraId="597BD190">
      <w:pPr>
        <w:spacing w:line="480" w:lineRule="exact"/>
        <w:jc w:val="left"/>
        <w:rPr>
          <w:rFonts w:ascii="宋体" w:hAnsi="宋体"/>
          <w:color w:val="000000"/>
          <w:szCs w:val="21"/>
        </w:rPr>
      </w:pPr>
      <w:r>
        <w:rPr>
          <w:rFonts w:hint="eastAsia" w:ascii="宋体" w:hAnsi="宋体"/>
          <w:color w:val="000000"/>
          <w:szCs w:val="21"/>
        </w:rPr>
        <w:t xml:space="preserve">    投标人或其投标文件有下列情形之一的，其投标作废标处理：</w:t>
      </w:r>
    </w:p>
    <w:p w14:paraId="077C9922">
      <w:pPr>
        <w:spacing w:line="480" w:lineRule="exact"/>
        <w:ind w:firstLine="480" w:firstLineChars="200"/>
        <w:jc w:val="left"/>
        <w:rPr>
          <w:rFonts w:ascii="宋体" w:hAnsi="宋体"/>
          <w:color w:val="000000"/>
          <w:szCs w:val="21"/>
        </w:rPr>
      </w:pPr>
      <w:r>
        <w:rPr>
          <w:rFonts w:hint="eastAsia" w:ascii="宋体" w:hAnsi="宋体"/>
          <w:color w:val="000000"/>
          <w:szCs w:val="21"/>
        </w:rPr>
        <w:t>B1.1有第二章“投标人须知”第1.4.3项规定的任何一种情形的。</w:t>
      </w:r>
    </w:p>
    <w:p w14:paraId="5F5520C5">
      <w:pPr>
        <w:spacing w:line="480" w:lineRule="exact"/>
        <w:ind w:firstLine="480" w:firstLineChars="200"/>
        <w:jc w:val="left"/>
        <w:rPr>
          <w:rFonts w:ascii="宋体" w:hAnsi="宋体"/>
          <w:color w:val="000000"/>
          <w:szCs w:val="21"/>
        </w:rPr>
      </w:pPr>
      <w:r>
        <w:rPr>
          <w:rFonts w:hint="eastAsia" w:ascii="宋体" w:hAnsi="宋体"/>
          <w:color w:val="000000"/>
          <w:szCs w:val="21"/>
        </w:rPr>
        <w:t>B1.2 有串通投标或弄虚作假或其他违法行为的，详见下款：</w:t>
      </w:r>
    </w:p>
    <w:p w14:paraId="0C6FCA30">
      <w:pPr>
        <w:spacing w:line="480" w:lineRule="exact"/>
        <w:ind w:firstLine="480" w:firstLineChars="200"/>
        <w:jc w:val="left"/>
        <w:rPr>
          <w:rFonts w:ascii="宋体" w:hAnsi="宋体"/>
          <w:bCs/>
          <w:color w:val="000000"/>
          <w:kern w:val="0"/>
          <w:szCs w:val="21"/>
        </w:rPr>
      </w:pPr>
      <w:r>
        <w:rPr>
          <w:rFonts w:hint="eastAsia" w:ascii="宋体" w:hAnsi="宋体"/>
          <w:bCs/>
          <w:color w:val="000000"/>
          <w:kern w:val="0"/>
          <w:szCs w:val="21"/>
        </w:rPr>
        <w:t>B1.2.1投标人之间协商投标报价等投标文件的实质性内容；</w:t>
      </w:r>
    </w:p>
    <w:p w14:paraId="699B8726">
      <w:pPr>
        <w:spacing w:line="480" w:lineRule="exact"/>
        <w:ind w:firstLine="480" w:firstLineChars="200"/>
        <w:jc w:val="left"/>
        <w:rPr>
          <w:rFonts w:ascii="宋体" w:hAnsi="宋体"/>
          <w:bCs/>
          <w:color w:val="000000"/>
          <w:kern w:val="0"/>
          <w:szCs w:val="21"/>
        </w:rPr>
      </w:pPr>
      <w:r>
        <w:rPr>
          <w:rFonts w:hint="eastAsia" w:ascii="宋体" w:hAnsi="宋体"/>
          <w:bCs/>
          <w:color w:val="000000"/>
          <w:kern w:val="0"/>
          <w:szCs w:val="21"/>
        </w:rPr>
        <w:t>B1.2.2投标人之间约定中标人；</w:t>
      </w:r>
    </w:p>
    <w:p w14:paraId="7786BC26">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 xml:space="preserve"> B1.2.3投标人之间约定部分投标人放弃投标或者中标；</w:t>
      </w:r>
    </w:p>
    <w:p w14:paraId="7319E1D2">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 xml:space="preserve"> B1.2.5投标人之间为谋取中标或者排斥特定投标人而采取的其他联合行动；</w:t>
      </w:r>
    </w:p>
    <w:p w14:paraId="43CB248F">
      <w:pPr>
        <w:autoSpaceDE w:val="0"/>
        <w:autoSpaceDN w:val="0"/>
        <w:spacing w:line="500" w:lineRule="exact"/>
        <w:ind w:firstLine="484" w:firstLineChars="202"/>
        <w:jc w:val="left"/>
        <w:rPr>
          <w:rFonts w:ascii="宋体" w:hAnsi="宋体"/>
          <w:bCs/>
          <w:color w:val="000000"/>
          <w:kern w:val="0"/>
          <w:szCs w:val="21"/>
        </w:rPr>
      </w:pPr>
      <w:r>
        <w:rPr>
          <w:rFonts w:hint="eastAsia" w:ascii="宋体" w:hAnsi="宋体"/>
          <w:bCs/>
          <w:color w:val="000000"/>
          <w:kern w:val="0"/>
          <w:szCs w:val="21"/>
        </w:rPr>
        <w:t>B1.2.6不同投标人的投标文件由同一单位或者个人编制；</w:t>
      </w:r>
    </w:p>
    <w:p w14:paraId="087F0125">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 xml:space="preserve"> B1.2.7不同投标人委托同一单位或者个人办理投标事宜；</w:t>
      </w:r>
    </w:p>
    <w:p w14:paraId="570139A3">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 xml:space="preserve"> B1.2.8不同投标人的投标文件载明的项目管理成员为同一人；</w:t>
      </w:r>
    </w:p>
    <w:p w14:paraId="2828B1DE">
      <w:pPr>
        <w:autoSpaceDE w:val="0"/>
        <w:autoSpaceDN w:val="0"/>
        <w:spacing w:line="500" w:lineRule="exact"/>
        <w:ind w:firstLine="360" w:firstLineChars="150"/>
        <w:jc w:val="left"/>
        <w:rPr>
          <w:rFonts w:ascii="宋体" w:hAnsi="宋体"/>
          <w:bCs/>
          <w:color w:val="000000"/>
          <w:kern w:val="0"/>
          <w:szCs w:val="21"/>
        </w:rPr>
      </w:pPr>
      <w:r>
        <w:rPr>
          <w:rFonts w:hint="eastAsia" w:ascii="宋体" w:hAnsi="宋体"/>
          <w:bCs/>
          <w:color w:val="000000"/>
          <w:kern w:val="0"/>
          <w:szCs w:val="21"/>
        </w:rPr>
        <w:t xml:space="preserve"> B1.2.9 不同投标人聘请同一个人为其投标提供技术或者经济咨询服务的，但招标工程本身要求采用专有技术的除外；</w:t>
      </w:r>
    </w:p>
    <w:p w14:paraId="0BCB281A">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B1.2.10不同投标人的投标文件异常一致或者投标报价呈规律性差异；</w:t>
      </w:r>
    </w:p>
    <w:p w14:paraId="045B0639">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B1.2.11不同投标人的投标文件错漏之处一致的；</w:t>
      </w:r>
    </w:p>
    <w:p w14:paraId="3FEC5EF6">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B1.2.12不同投标人的投标文件相互混装；</w:t>
      </w:r>
    </w:p>
    <w:p w14:paraId="18A54EE7">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B1.2.13不同投标人的投标文件由同一台电脑编制或者同一台附属设备打印；</w:t>
      </w:r>
    </w:p>
    <w:p w14:paraId="67881116">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B1.2.14不同投标人的投标保证金从同一单位或者个人的账户转出；</w:t>
      </w:r>
    </w:p>
    <w:p w14:paraId="4CB13381">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B1.2.15不同投标人使用同一个人或者企业资金交纳投标保证金或者投标保函的反担保的；</w:t>
      </w:r>
    </w:p>
    <w:p w14:paraId="3A7E90B3">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B1.2.16使用伪造、变造的许可证件；</w:t>
      </w:r>
    </w:p>
    <w:p w14:paraId="4A00A652">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B1.2.17提供虚假的财务状况或者业绩；</w:t>
      </w:r>
    </w:p>
    <w:p w14:paraId="0126E027">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B1.2.18提供虚假的项目负责人或者主要技术人员简历、劳动关系证明；</w:t>
      </w:r>
    </w:p>
    <w:p w14:paraId="0074369A">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B1.2.19提供虚假的信用状况；</w:t>
      </w:r>
    </w:p>
    <w:p w14:paraId="57710391">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B1.2.20其他弄虚作假的行为；</w:t>
      </w:r>
    </w:p>
    <w:p w14:paraId="26F5DB6A">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B1.2.21招标人在开标前开启投标文件并将有关信息泄露给其他投标人；</w:t>
      </w:r>
    </w:p>
    <w:p w14:paraId="1E2710B8">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B1.2.22招标人直接或者间接向投标人泄露标底、评标委员会成员等信息；</w:t>
      </w:r>
    </w:p>
    <w:p w14:paraId="3CD35783">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B1.2.23招标人明示或者暗示投标人压低或者抬高投标报价；</w:t>
      </w:r>
    </w:p>
    <w:p w14:paraId="2C84BBCA">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B1.2.24招标人授意投标人撤换、修改投标文件；</w:t>
      </w:r>
    </w:p>
    <w:p w14:paraId="1CE90D7D">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B1.2.25招标人明示或者暗示投标人为特定投标人中标提供方便；</w:t>
      </w:r>
    </w:p>
    <w:p w14:paraId="19AF7389">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B1.2.26招标人与投标人为谋求特定投标人中标而采取的其他串通行为；</w:t>
      </w:r>
    </w:p>
    <w:p w14:paraId="66203084">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B1.2.27评标委员会认定的其他串通投标情形；</w:t>
      </w:r>
    </w:p>
    <w:p w14:paraId="02BB7848">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B1.3不按评标委员会要求澄清、说明或补正的。</w:t>
      </w:r>
    </w:p>
    <w:p w14:paraId="478FDF0B">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B1.4在形式评审、资格评审（适用于未进行资格预审的）、响应性评审中，评标委员会认定投标人的投标文件不符合评标办法前附表中规定的任何一项评审标准的。</w:t>
      </w:r>
    </w:p>
    <w:p w14:paraId="647C5909">
      <w:pPr>
        <w:autoSpaceDE w:val="0"/>
        <w:autoSpaceDN w:val="0"/>
        <w:spacing w:line="500" w:lineRule="exact"/>
        <w:ind w:firstLine="360"/>
        <w:jc w:val="left"/>
        <w:rPr>
          <w:rFonts w:ascii="宋体" w:hAnsi="宋体"/>
          <w:bCs/>
          <w:color w:val="000000"/>
          <w:kern w:val="0"/>
          <w:szCs w:val="21"/>
        </w:rPr>
      </w:pPr>
      <w:r>
        <w:rPr>
          <w:rFonts w:ascii="宋体" w:hAnsi="宋体"/>
          <w:bCs/>
          <w:color w:val="000000"/>
          <w:kern w:val="0"/>
          <w:szCs w:val="21"/>
        </w:rPr>
        <w:t>B1.6投标报价文件（投标函除外）未经有资格的</w:t>
      </w:r>
      <w:r>
        <w:rPr>
          <w:rFonts w:hint="eastAsia" w:ascii="宋体" w:hAnsi="宋体"/>
          <w:bCs/>
          <w:color w:val="000000"/>
          <w:kern w:val="0"/>
          <w:szCs w:val="21"/>
        </w:rPr>
        <w:t>注册</w:t>
      </w:r>
      <w:r>
        <w:rPr>
          <w:rFonts w:ascii="宋体" w:hAnsi="宋体"/>
          <w:bCs/>
          <w:color w:val="000000"/>
          <w:kern w:val="0"/>
          <w:szCs w:val="21"/>
        </w:rPr>
        <w:t>造价</w:t>
      </w:r>
      <w:r>
        <w:rPr>
          <w:rFonts w:hint="eastAsia" w:ascii="宋体" w:hAnsi="宋体"/>
          <w:bCs/>
          <w:color w:val="000000"/>
          <w:kern w:val="0"/>
          <w:szCs w:val="21"/>
        </w:rPr>
        <w:t>工程师</w:t>
      </w:r>
      <w:r>
        <w:rPr>
          <w:rFonts w:ascii="宋体" w:hAnsi="宋体"/>
          <w:bCs/>
          <w:color w:val="000000"/>
          <w:kern w:val="0"/>
          <w:szCs w:val="21"/>
        </w:rPr>
        <w:t>签字并加盖</w:t>
      </w:r>
      <w:r>
        <w:rPr>
          <w:rFonts w:hint="eastAsia" w:ascii="宋体" w:hAnsi="宋体"/>
          <w:bCs/>
          <w:color w:val="000000"/>
          <w:kern w:val="0"/>
          <w:szCs w:val="21"/>
        </w:rPr>
        <w:t>其</w:t>
      </w:r>
      <w:r>
        <w:rPr>
          <w:rFonts w:ascii="宋体" w:hAnsi="宋体"/>
          <w:bCs/>
          <w:color w:val="000000"/>
          <w:kern w:val="0"/>
          <w:szCs w:val="21"/>
        </w:rPr>
        <w:t>执业专用章的</w:t>
      </w:r>
      <w:r>
        <w:rPr>
          <w:rFonts w:hint="eastAsia" w:ascii="宋体" w:hAnsi="宋体"/>
          <w:bCs/>
          <w:color w:val="000000"/>
          <w:kern w:val="0"/>
          <w:szCs w:val="21"/>
        </w:rPr>
        <w:t>(盖章的注册造价工程师应是在本单位注册人员，或是投标人委托的造价咨询机构注册造价工程师并附委托合同)</w:t>
      </w:r>
      <w:r>
        <w:rPr>
          <w:rFonts w:ascii="宋体" w:hAnsi="宋体"/>
          <w:bCs/>
          <w:color w:val="000000"/>
          <w:kern w:val="0"/>
          <w:szCs w:val="21"/>
        </w:rPr>
        <w:t>。</w:t>
      </w:r>
    </w:p>
    <w:p w14:paraId="71BFFD32">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B1.7在技术标和资信标评审中，评标委员会认定投标人的投标未能通过此项评审的。</w:t>
      </w:r>
    </w:p>
    <w:p w14:paraId="351D707A">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B1.8评标委员会认定投标人以低于成本报价竞标的。</w:t>
      </w:r>
    </w:p>
    <w:p w14:paraId="78C72DEE">
      <w:pPr>
        <w:autoSpaceDE w:val="0"/>
        <w:autoSpaceDN w:val="0"/>
        <w:spacing w:line="500" w:lineRule="exact"/>
        <w:ind w:firstLine="360"/>
        <w:jc w:val="left"/>
        <w:rPr>
          <w:rFonts w:ascii="宋体" w:hAnsi="宋体"/>
          <w:bCs/>
          <w:color w:val="000000"/>
          <w:kern w:val="0"/>
          <w:szCs w:val="21"/>
        </w:rPr>
      </w:pPr>
      <w:r>
        <w:rPr>
          <w:rFonts w:hint="eastAsia" w:ascii="宋体" w:hAnsi="宋体"/>
          <w:bCs/>
          <w:color w:val="000000"/>
          <w:kern w:val="0"/>
          <w:szCs w:val="21"/>
        </w:rPr>
        <w:t>B1.9投标人未按第二章“投标人须知”第10.6款规定出席开标会的。</w:t>
      </w:r>
    </w:p>
    <w:p w14:paraId="0EDC35F7">
      <w:pPr>
        <w:pStyle w:val="57"/>
        <w:widowControl/>
        <w:spacing w:beforeLines="0" w:line="300" w:lineRule="auto"/>
        <w:ind w:left="1233" w:leftChars="514" w:firstLine="660" w:firstLineChars="150"/>
        <w:jc w:val="both"/>
        <w:rPr>
          <w:rFonts w:hint="eastAsia"/>
          <w:color w:val="000000"/>
          <w:kern w:val="0"/>
          <w:szCs w:val="21"/>
        </w:rPr>
      </w:pPr>
    </w:p>
    <w:p w14:paraId="4364E271">
      <w:pPr>
        <w:pStyle w:val="57"/>
        <w:widowControl/>
        <w:spacing w:beforeLines="0" w:line="300" w:lineRule="auto"/>
        <w:ind w:left="1233" w:leftChars="514" w:firstLine="660" w:firstLineChars="150"/>
        <w:jc w:val="both"/>
        <w:rPr>
          <w:rFonts w:hint="eastAsia"/>
          <w:color w:val="000000"/>
          <w:kern w:val="0"/>
          <w:szCs w:val="21"/>
        </w:rPr>
      </w:pPr>
    </w:p>
    <w:p w14:paraId="02177C0F">
      <w:pPr>
        <w:pStyle w:val="3"/>
        <w:jc w:val="center"/>
      </w:pPr>
      <w:r>
        <w:rPr>
          <w:rFonts w:hint="eastAsia"/>
          <w:color w:val="000000"/>
          <w:kern w:val="0"/>
          <w:szCs w:val="21"/>
        </w:rPr>
        <w:br w:type="page"/>
      </w:r>
      <w:bookmarkStart w:id="140" w:name="_Toc22717_WPSOffice_Level1"/>
      <w:bookmarkStart w:id="141" w:name="_Toc18792_WPSOffice_Level1"/>
      <w:r>
        <w:rPr>
          <w:rFonts w:hint="eastAsia" w:ascii="Times New Roman" w:hAnsi="Times New Roman" w:eastAsia="黑体" w:cs="Times New Roman"/>
          <w:b/>
          <w:bCs w:val="0"/>
          <w:color w:val="000000"/>
          <w:kern w:val="0"/>
          <w:sz w:val="44"/>
          <w:szCs w:val="21"/>
          <w:lang w:val="en-US" w:eastAsia="zh-CN" w:bidi="ar-SA"/>
        </w:rPr>
        <w:t>第四章</w:t>
      </w:r>
      <w:r>
        <w:rPr>
          <w:rFonts w:hint="eastAsia" w:ascii="Times New Roman" w:hAnsi="Times New Roman" w:cs="Times New Roman"/>
          <w:b/>
          <w:bCs w:val="0"/>
          <w:color w:val="000000"/>
          <w:kern w:val="0"/>
          <w:sz w:val="44"/>
          <w:szCs w:val="21"/>
          <w:lang w:val="en-US" w:eastAsia="zh-CN" w:bidi="ar-SA"/>
        </w:rPr>
        <w:t xml:space="preserve"> </w:t>
      </w:r>
      <w:r>
        <w:rPr>
          <w:rFonts w:hint="eastAsia" w:ascii="Times New Roman" w:hAnsi="Times New Roman" w:eastAsia="黑体" w:cs="Times New Roman"/>
          <w:b/>
          <w:bCs w:val="0"/>
          <w:color w:val="000000"/>
          <w:kern w:val="0"/>
          <w:sz w:val="44"/>
          <w:szCs w:val="21"/>
          <w:lang w:val="en-US" w:eastAsia="zh-CN" w:bidi="ar-SA"/>
        </w:rPr>
        <w:t>技术要求</w:t>
      </w:r>
      <w:bookmarkEnd w:id="140"/>
      <w:bookmarkEnd w:id="141"/>
    </w:p>
    <w:p w14:paraId="2DA06C9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1、依据电机修理的行业标准、</w:t>
      </w:r>
      <w:r>
        <w:rPr>
          <w:rFonts w:hint="eastAsia" w:ascii="仿宋_GB2312" w:hAnsi="仿宋_GB2312" w:eastAsia="仿宋_GB2312" w:cs="仿宋_GB2312"/>
          <w:b w:val="0"/>
          <w:bCs w:val="0"/>
          <w:color w:val="000000"/>
          <w:sz w:val="28"/>
          <w:szCs w:val="28"/>
          <w:lang w:val="en-US" w:eastAsia="zh-CN"/>
        </w:rPr>
        <w:t>招标方</w:t>
      </w:r>
      <w:r>
        <w:rPr>
          <w:rFonts w:hint="eastAsia" w:ascii="仿宋_GB2312" w:hAnsi="仿宋_GB2312" w:eastAsia="仿宋_GB2312" w:cs="仿宋_GB2312"/>
          <w:b w:val="0"/>
          <w:bCs w:val="0"/>
          <w:color w:val="000000"/>
          <w:sz w:val="28"/>
          <w:szCs w:val="28"/>
        </w:rPr>
        <w:t>的技术</w:t>
      </w:r>
      <w:r>
        <w:rPr>
          <w:rFonts w:hint="eastAsia" w:ascii="仿宋_GB2312" w:hAnsi="仿宋_GB2312" w:eastAsia="仿宋_GB2312" w:cs="仿宋_GB2312"/>
          <w:b w:val="0"/>
          <w:bCs w:val="0"/>
          <w:color w:val="000000"/>
          <w:sz w:val="28"/>
          <w:szCs w:val="28"/>
          <w:lang w:val="en-US" w:eastAsia="zh-CN"/>
        </w:rPr>
        <w:t>要求</w:t>
      </w:r>
      <w:r>
        <w:rPr>
          <w:rFonts w:hint="eastAsia" w:ascii="仿宋_GB2312" w:hAnsi="仿宋_GB2312" w:eastAsia="仿宋_GB2312" w:cs="仿宋_GB2312"/>
          <w:b w:val="0"/>
          <w:bCs w:val="0"/>
          <w:color w:val="000000"/>
          <w:sz w:val="28"/>
          <w:szCs w:val="28"/>
        </w:rPr>
        <w:t>，保证质量、按期完成电机修理工程</w:t>
      </w:r>
      <w:r>
        <w:rPr>
          <w:rFonts w:hint="eastAsia" w:ascii="仿宋_GB2312" w:hAnsi="仿宋_GB2312" w:eastAsia="仿宋_GB2312" w:cs="仿宋_GB2312"/>
          <w:b w:val="0"/>
          <w:bCs w:val="0"/>
          <w:color w:val="000000"/>
          <w:sz w:val="28"/>
          <w:szCs w:val="28"/>
          <w:lang w:eastAsia="zh-CN"/>
        </w:rPr>
        <w:t>。</w:t>
      </w:r>
    </w:p>
    <w:p w14:paraId="3E83072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2、接到电机修理通知后，及时到</w:t>
      </w:r>
      <w:r>
        <w:rPr>
          <w:rFonts w:hint="eastAsia" w:ascii="仿宋_GB2312" w:hAnsi="仿宋_GB2312" w:eastAsia="仿宋_GB2312" w:cs="仿宋_GB2312"/>
          <w:b w:val="0"/>
          <w:bCs w:val="0"/>
          <w:color w:val="000000"/>
          <w:sz w:val="28"/>
          <w:szCs w:val="28"/>
          <w:lang w:eastAsia="zh-CN"/>
        </w:rPr>
        <w:t>招标人</w:t>
      </w:r>
      <w:r>
        <w:rPr>
          <w:rFonts w:hint="eastAsia" w:ascii="仿宋_GB2312" w:hAnsi="仿宋_GB2312" w:eastAsia="仿宋_GB2312" w:cs="仿宋_GB2312"/>
          <w:b w:val="0"/>
          <w:bCs w:val="0"/>
          <w:color w:val="000000"/>
          <w:sz w:val="28"/>
          <w:szCs w:val="28"/>
        </w:rPr>
        <w:t>电机安装或指定地点将电机拉走，</w:t>
      </w:r>
      <w:r>
        <w:rPr>
          <w:rFonts w:hint="eastAsia" w:ascii="仿宋_GB2312" w:hAnsi="仿宋_GB2312" w:eastAsia="仿宋_GB2312" w:cs="仿宋_GB2312"/>
          <w:color w:val="000000"/>
          <w:sz w:val="28"/>
          <w:szCs w:val="28"/>
        </w:rPr>
        <w:t>修理完毕后</w:t>
      </w:r>
      <w:r>
        <w:rPr>
          <w:rFonts w:hint="eastAsia" w:ascii="仿宋_GB2312" w:hAnsi="仿宋_GB2312" w:eastAsia="仿宋_GB2312" w:cs="仿宋_GB2312"/>
          <w:color w:val="000000"/>
          <w:sz w:val="28"/>
          <w:szCs w:val="28"/>
          <w:lang w:val="en-US" w:eastAsia="zh-CN"/>
        </w:rPr>
        <w:t>悬挂维修时间标牌</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b w:val="0"/>
          <w:bCs w:val="0"/>
          <w:color w:val="000000"/>
          <w:sz w:val="28"/>
          <w:szCs w:val="28"/>
        </w:rPr>
        <w:t>及时送至指定的电机安装或存放地点</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同时提供维修试验报告</w:t>
      </w:r>
      <w:r>
        <w:rPr>
          <w:rFonts w:hint="eastAsia" w:ascii="仿宋_GB2312" w:hAnsi="仿宋_GB2312" w:eastAsia="仿宋_GB2312" w:cs="仿宋_GB2312"/>
          <w:b w:val="0"/>
          <w:bCs w:val="0"/>
          <w:color w:val="000000"/>
          <w:sz w:val="28"/>
          <w:szCs w:val="28"/>
          <w:lang w:eastAsia="zh-CN"/>
        </w:rPr>
        <w:t>。</w:t>
      </w:r>
    </w:p>
    <w:p w14:paraId="1C42BED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3、电机维修应在</w:t>
      </w:r>
      <w:r>
        <w:rPr>
          <w:rFonts w:hint="eastAsia" w:ascii="仿宋_GB2312" w:hAnsi="仿宋_GB2312" w:eastAsia="仿宋_GB2312" w:cs="仿宋_GB2312"/>
          <w:b w:val="0"/>
          <w:bCs w:val="0"/>
          <w:color w:val="000000"/>
          <w:sz w:val="28"/>
          <w:szCs w:val="28"/>
          <w:lang w:val="en-US" w:eastAsia="zh-CN"/>
        </w:rPr>
        <w:t>10日历天</w:t>
      </w:r>
      <w:r>
        <w:rPr>
          <w:rFonts w:hint="eastAsia" w:ascii="仿宋_GB2312" w:hAnsi="仿宋_GB2312" w:eastAsia="仿宋_GB2312" w:cs="仿宋_GB2312"/>
          <w:b w:val="0"/>
          <w:bCs w:val="0"/>
          <w:color w:val="000000"/>
          <w:sz w:val="28"/>
          <w:szCs w:val="28"/>
        </w:rPr>
        <w:t>内完成，如遇</w:t>
      </w:r>
      <w:r>
        <w:rPr>
          <w:rFonts w:hint="eastAsia" w:ascii="仿宋_GB2312" w:hAnsi="仿宋_GB2312" w:eastAsia="仿宋_GB2312" w:cs="仿宋_GB2312"/>
          <w:b w:val="0"/>
          <w:bCs w:val="0"/>
          <w:color w:val="000000"/>
          <w:sz w:val="28"/>
          <w:szCs w:val="28"/>
          <w:lang w:eastAsia="zh-CN"/>
        </w:rPr>
        <w:t>招标人</w:t>
      </w:r>
      <w:r>
        <w:rPr>
          <w:rFonts w:hint="eastAsia" w:ascii="仿宋_GB2312" w:hAnsi="仿宋_GB2312" w:eastAsia="仿宋_GB2312" w:cs="仿宋_GB2312"/>
          <w:b w:val="0"/>
          <w:bCs w:val="0"/>
          <w:color w:val="000000"/>
          <w:sz w:val="28"/>
          <w:szCs w:val="28"/>
        </w:rPr>
        <w:t>紧急抢修时，应保证24小时不间断维修，尽早完成维修工作</w:t>
      </w:r>
      <w:r>
        <w:rPr>
          <w:rFonts w:hint="eastAsia" w:ascii="仿宋_GB2312" w:hAnsi="仿宋_GB2312" w:eastAsia="仿宋_GB2312" w:cs="仿宋_GB2312"/>
          <w:b w:val="0"/>
          <w:bCs w:val="0"/>
          <w:color w:val="000000"/>
          <w:sz w:val="28"/>
          <w:szCs w:val="28"/>
          <w:lang w:eastAsia="zh-CN"/>
        </w:rPr>
        <w:t>。</w:t>
      </w:r>
    </w:p>
    <w:p w14:paraId="386F37D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4、在</w:t>
      </w:r>
      <w:r>
        <w:rPr>
          <w:rFonts w:hint="eastAsia" w:ascii="仿宋_GB2312" w:hAnsi="仿宋_GB2312" w:eastAsia="仿宋_GB2312" w:cs="仿宋_GB2312"/>
          <w:b w:val="0"/>
          <w:bCs w:val="0"/>
          <w:color w:val="000000"/>
          <w:sz w:val="28"/>
          <w:szCs w:val="28"/>
          <w:lang w:val="en-US" w:eastAsia="zh-CN"/>
        </w:rPr>
        <w:t>绕组</w:t>
      </w:r>
      <w:r>
        <w:rPr>
          <w:rFonts w:hint="eastAsia" w:ascii="仿宋_GB2312" w:hAnsi="仿宋_GB2312" w:eastAsia="仿宋_GB2312" w:cs="仿宋_GB2312"/>
          <w:b w:val="0"/>
          <w:bCs w:val="0"/>
          <w:color w:val="000000"/>
          <w:sz w:val="28"/>
          <w:szCs w:val="28"/>
        </w:rPr>
        <w:t>线圈时，线圈应为铜质线圈，材料满足国家技术标准，</w:t>
      </w:r>
      <w:r>
        <w:rPr>
          <w:rFonts w:hint="eastAsia" w:ascii="仿宋_GB2312" w:hAnsi="仿宋_GB2312" w:eastAsia="仿宋_GB2312" w:cs="仿宋_GB2312"/>
          <w:b w:val="0"/>
          <w:bCs w:val="0"/>
          <w:color w:val="000000"/>
          <w:sz w:val="28"/>
          <w:szCs w:val="28"/>
          <w:lang w:eastAsia="zh-CN"/>
        </w:rPr>
        <w:t>投标人</w:t>
      </w:r>
      <w:r>
        <w:rPr>
          <w:rFonts w:hint="eastAsia" w:ascii="仿宋_GB2312" w:hAnsi="仿宋_GB2312" w:eastAsia="仿宋_GB2312" w:cs="仿宋_GB2312"/>
          <w:b w:val="0"/>
          <w:bCs w:val="0"/>
          <w:color w:val="000000"/>
          <w:sz w:val="28"/>
          <w:szCs w:val="28"/>
        </w:rPr>
        <w:t>对线圈的匝间、相间、对地绝缘试验必须按电机线圈所要求的国家行业标准等级进行试验，以确保线圈下线后的质量要求，不得随意更改原装线圈线径的尺寸，电机所用的材料应属国家正品生产厂出品的合格产品；</w:t>
      </w:r>
      <w:r>
        <w:rPr>
          <w:rFonts w:hint="eastAsia" w:ascii="仿宋_GB2312" w:hAnsi="仿宋_GB2312" w:eastAsia="仿宋_GB2312" w:cs="仿宋_GB2312"/>
          <w:b w:val="0"/>
          <w:bCs w:val="0"/>
          <w:color w:val="000000"/>
          <w:sz w:val="28"/>
          <w:szCs w:val="28"/>
          <w:lang w:val="zh-CN"/>
        </w:rPr>
        <w:t>轴承选用斯凯孚品牌轴承，</w:t>
      </w:r>
      <w:r>
        <w:rPr>
          <w:rFonts w:hint="eastAsia" w:ascii="仿宋_GB2312" w:hAnsi="仿宋_GB2312" w:eastAsia="仿宋_GB2312" w:cs="仿宋_GB2312"/>
          <w:b w:val="0"/>
          <w:bCs w:val="0"/>
          <w:color w:val="000000"/>
          <w:sz w:val="28"/>
          <w:szCs w:val="28"/>
          <w:lang w:val="en-US" w:eastAsia="zh-CN"/>
        </w:rPr>
        <w:t>轴瓦可选用国产品牌；所用材料备件需提供合格证</w:t>
      </w:r>
      <w:r>
        <w:rPr>
          <w:rFonts w:hint="eastAsia" w:ascii="仿宋_GB2312" w:hAnsi="仿宋_GB2312" w:eastAsia="仿宋_GB2312" w:cs="仿宋_GB2312"/>
          <w:b w:val="0"/>
          <w:bCs w:val="0"/>
          <w:color w:val="000000"/>
          <w:sz w:val="28"/>
          <w:szCs w:val="28"/>
          <w:lang w:val="zh-CN"/>
        </w:rPr>
        <w:t>。</w:t>
      </w:r>
    </w:p>
    <w:p w14:paraId="4EC26A1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6、电机修理后，设备外壳必须清理如新</w:t>
      </w:r>
      <w:r>
        <w:rPr>
          <w:rFonts w:hint="eastAsia" w:ascii="仿宋_GB2312" w:hAnsi="仿宋_GB2312" w:eastAsia="仿宋_GB2312" w:cs="仿宋_GB2312"/>
          <w:b w:val="0"/>
          <w:bCs w:val="0"/>
          <w:color w:val="000000"/>
          <w:sz w:val="28"/>
          <w:szCs w:val="28"/>
          <w:lang w:val="en-US" w:eastAsia="zh-CN"/>
        </w:rPr>
        <w:t>或重新喷漆</w:t>
      </w:r>
      <w:r>
        <w:rPr>
          <w:rFonts w:hint="eastAsia" w:ascii="仿宋_GB2312" w:hAnsi="仿宋_GB2312" w:eastAsia="仿宋_GB2312" w:cs="仿宋_GB2312"/>
          <w:b w:val="0"/>
          <w:bCs w:val="0"/>
          <w:color w:val="000000"/>
          <w:sz w:val="28"/>
          <w:szCs w:val="28"/>
          <w:lang w:eastAsia="zh-CN"/>
        </w:rPr>
        <w:t>。</w:t>
      </w:r>
    </w:p>
    <w:p w14:paraId="5846ACF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7</w:t>
      </w:r>
      <w:r>
        <w:rPr>
          <w:rFonts w:hint="eastAsia" w:ascii="仿宋_GB2312" w:hAnsi="仿宋_GB2312" w:eastAsia="仿宋_GB2312" w:cs="仿宋_GB2312"/>
          <w:b w:val="0"/>
          <w:bCs w:val="0"/>
          <w:color w:val="000000"/>
          <w:sz w:val="28"/>
          <w:szCs w:val="28"/>
        </w:rPr>
        <w:t>、电机维修后绝缘等级及防护等级应同原铭牌保持一致，经过静态试验测试合格，电机温升符合国家标准，空载电流</w:t>
      </w:r>
      <w:r>
        <w:rPr>
          <w:rFonts w:hint="eastAsia" w:ascii="仿宋_GB2312" w:hAnsi="仿宋_GB2312" w:eastAsia="仿宋_GB2312" w:cs="仿宋_GB2312"/>
          <w:b w:val="0"/>
          <w:bCs w:val="0"/>
          <w:color w:val="000000"/>
          <w:sz w:val="28"/>
          <w:szCs w:val="28"/>
          <w:lang w:val="en-US" w:eastAsia="zh-CN"/>
        </w:rPr>
        <w:t>及振动值</w:t>
      </w:r>
      <w:r>
        <w:rPr>
          <w:rFonts w:hint="eastAsia" w:ascii="仿宋_GB2312" w:hAnsi="仿宋_GB2312" w:eastAsia="仿宋_GB2312" w:cs="仿宋_GB2312"/>
          <w:b w:val="0"/>
          <w:bCs w:val="0"/>
          <w:color w:val="000000"/>
          <w:sz w:val="28"/>
          <w:szCs w:val="28"/>
        </w:rPr>
        <w:t>不大于厂家出厂技术标准</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电机的各项检测/保护功能（温度检测、差动保护等）不得改变。</w:t>
      </w:r>
    </w:p>
    <w:p w14:paraId="71C8614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val="en-US" w:eastAsia="zh-CN"/>
        </w:rPr>
        <w:t>8、电机维修后交付时需一并提供试验检测报告</w:t>
      </w:r>
      <w:r>
        <w:rPr>
          <w:rFonts w:hint="eastAsia" w:ascii="仿宋_GB2312" w:hAnsi="仿宋_GB2312" w:eastAsia="仿宋_GB2312" w:cs="仿宋_GB2312"/>
          <w:b w:val="0"/>
          <w:bCs w:val="0"/>
          <w:color w:val="000000"/>
          <w:sz w:val="28"/>
          <w:szCs w:val="28"/>
          <w:lang w:eastAsia="zh-CN"/>
        </w:rPr>
        <w:t>。</w:t>
      </w:r>
    </w:p>
    <w:p w14:paraId="673952D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lang w:eastAsia="zh-CN"/>
        </w:rPr>
      </w:pPr>
    </w:p>
    <w:p w14:paraId="316330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br w:type="page"/>
      </w:r>
    </w:p>
    <w:p w14:paraId="77F7BC5E">
      <w:pPr>
        <w:rPr>
          <w:rFonts w:hint="eastAsia"/>
          <w:color w:val="000000"/>
          <w:kern w:val="0"/>
          <w:szCs w:val="21"/>
        </w:rPr>
      </w:pPr>
    </w:p>
    <w:p w14:paraId="1B129B71">
      <w:pPr>
        <w:pStyle w:val="57"/>
        <w:widowControl/>
        <w:spacing w:beforeLines="0" w:line="300" w:lineRule="auto"/>
        <w:ind w:left="1233" w:leftChars="514" w:firstLine="660" w:firstLineChars="150"/>
        <w:jc w:val="both"/>
        <w:rPr>
          <w:color w:val="000000"/>
        </w:rPr>
      </w:pPr>
      <w:bookmarkStart w:id="142" w:name="_Toc31044_WPSOffice_Level1"/>
      <w:bookmarkStart w:id="143" w:name="_Toc386_WPSOffice_Level1"/>
      <w:r>
        <w:rPr>
          <w:rFonts w:hint="eastAsia"/>
          <w:color w:val="000000"/>
          <w:kern w:val="0"/>
          <w:szCs w:val="21"/>
        </w:rPr>
        <w:t>第</w:t>
      </w:r>
      <w:r>
        <w:rPr>
          <w:rFonts w:hint="eastAsia"/>
          <w:color w:val="000000"/>
          <w:kern w:val="0"/>
          <w:szCs w:val="21"/>
          <w:lang w:val="en-US" w:eastAsia="zh-CN"/>
        </w:rPr>
        <w:t>五</w:t>
      </w:r>
      <w:r>
        <w:rPr>
          <w:rFonts w:hint="eastAsia"/>
          <w:color w:val="000000"/>
          <w:kern w:val="0"/>
          <w:szCs w:val="21"/>
        </w:rPr>
        <w:t>章</w:t>
      </w:r>
      <w:r>
        <w:rPr>
          <w:color w:val="000000"/>
        </w:rPr>
        <w:t xml:space="preserve">  </w:t>
      </w:r>
      <w:r>
        <w:rPr>
          <w:rFonts w:hint="eastAsia"/>
          <w:color w:val="000000"/>
        </w:rPr>
        <w:t>合同条款及格式</w:t>
      </w:r>
      <w:bookmarkEnd w:id="142"/>
      <w:bookmarkEnd w:id="143"/>
    </w:p>
    <w:p w14:paraId="1A677A87">
      <w:pPr>
        <w:spacing w:line="300" w:lineRule="auto"/>
        <w:rPr>
          <w:rFonts w:ascii="Times New Roman" w:hAnsi="Times New Roman" w:eastAsia="仿宋_GB2312"/>
          <w:color w:val="000000"/>
        </w:rPr>
      </w:pPr>
      <w:r>
        <w:rPr>
          <w:rFonts w:ascii="Times New Roman" w:hAnsi="Times New Roman" w:eastAsia="仿宋_GB2312"/>
          <w:color w:val="000000"/>
        </w:rPr>
        <w:tab/>
      </w:r>
    </w:p>
    <w:p w14:paraId="6FB0FA88">
      <w:pPr>
        <w:tabs>
          <w:tab w:val="left" w:pos="1176"/>
        </w:tabs>
        <w:spacing w:line="360" w:lineRule="auto"/>
        <w:jc w:val="both"/>
        <w:rPr>
          <w:rFonts w:cs="仿宋"/>
          <w:sz w:val="44"/>
          <w:szCs w:val="44"/>
        </w:rPr>
      </w:pPr>
    </w:p>
    <w:p w14:paraId="36D6B3B3">
      <w:pPr>
        <w:widowControl/>
        <w:tabs>
          <w:tab w:val="left" w:pos="0"/>
          <w:tab w:val="center" w:pos="4500"/>
        </w:tabs>
        <w:spacing w:line="720" w:lineRule="auto"/>
        <w:jc w:val="left"/>
        <w:outlineLvl w:val="0"/>
        <w:rPr>
          <w:rFonts w:hint="eastAsia" w:ascii="仿宋_GB2312" w:hAnsi="仿宋_GB2312" w:eastAsia="仿宋_GB2312" w:cs="仿宋_GB2312"/>
          <w:b/>
          <w:spacing w:val="20"/>
          <w:sz w:val="28"/>
          <w:szCs w:val="28"/>
        </w:rPr>
      </w:pPr>
      <w:bookmarkStart w:id="144" w:name="_Toc508871745"/>
      <w:r>
        <w:rPr>
          <w:rFonts w:hint="eastAsia" w:ascii="仿宋_GB2312" w:hAnsi="仿宋_GB2312" w:eastAsia="仿宋_GB2312" w:cs="仿宋_GB2312"/>
          <w:b/>
          <w:spacing w:val="20"/>
          <w:sz w:val="28"/>
          <w:szCs w:val="28"/>
        </w:rPr>
        <w:t>合同编号：</w:t>
      </w:r>
    </w:p>
    <w:p w14:paraId="4096CC6E">
      <w:pPr>
        <w:widowControl/>
        <w:tabs>
          <w:tab w:val="left" w:pos="0"/>
        </w:tabs>
        <w:spacing w:line="720" w:lineRule="auto"/>
        <w:jc w:val="left"/>
        <w:outlineLvl w:val="0"/>
        <w:rPr>
          <w:rFonts w:hint="eastAsia" w:ascii="仿宋_GB2312" w:hAnsi="仿宋_GB2312" w:eastAsia="仿宋_GB2312" w:cs="仿宋_GB2312"/>
          <w:b/>
          <w:spacing w:val="20"/>
          <w:sz w:val="44"/>
        </w:rPr>
      </w:pPr>
    </w:p>
    <w:p w14:paraId="2F13BAC4">
      <w:pPr>
        <w:jc w:val="center"/>
        <w:rPr>
          <w:rFonts w:hint="eastAsia" w:ascii="仿宋_GB2312" w:hAnsi="仿宋_GB2312" w:eastAsia="仿宋_GB2312" w:cs="仿宋_GB2312"/>
          <w:b/>
          <w:bCs/>
          <w:sz w:val="48"/>
        </w:rPr>
      </w:pPr>
      <w:r>
        <w:rPr>
          <w:rFonts w:hint="eastAsia" w:ascii="仿宋_GB2312" w:hAnsi="仿宋_GB2312" w:eastAsia="仿宋_GB2312" w:cs="仿宋_GB2312"/>
          <w:b/>
          <w:bCs/>
          <w:spacing w:val="20"/>
          <w:sz w:val="44"/>
          <w:szCs w:val="44"/>
        </w:rPr>
        <w:t>山东济钢环保新材料有限公司</w:t>
      </w:r>
    </w:p>
    <w:p w14:paraId="0A345EA5">
      <w:pPr>
        <w:jc w:val="center"/>
        <w:rPr>
          <w:rFonts w:hint="eastAsia" w:ascii="仿宋_GB2312" w:hAnsi="仿宋_GB2312" w:eastAsia="仿宋_GB2312" w:cs="仿宋_GB2312"/>
          <w:b/>
          <w:bCs/>
          <w:sz w:val="48"/>
        </w:rPr>
      </w:pPr>
    </w:p>
    <w:p w14:paraId="3E4DA7C7">
      <w:pPr>
        <w:adjustRightInd w:val="0"/>
        <w:snapToGrid w:val="0"/>
        <w:spacing w:line="360" w:lineRule="auto"/>
        <w:jc w:val="center"/>
        <w:rPr>
          <w:rFonts w:hint="eastAsia" w:ascii="仿宋_GB2312" w:hAnsi="仿宋_GB2312" w:eastAsia="仿宋_GB2312" w:cs="仿宋_GB2312"/>
          <w:b/>
          <w:bCs/>
          <w:sz w:val="48"/>
        </w:rPr>
      </w:pPr>
      <w:r>
        <w:rPr>
          <w:rFonts w:hint="eastAsia" w:ascii="仿宋_GB2312" w:hAnsi="仿宋_GB2312" w:eastAsia="仿宋_GB2312" w:cs="仿宋_GB2312"/>
          <w:b/>
          <w:bCs/>
          <w:sz w:val="48"/>
          <w:lang w:val="en-US" w:eastAsia="zh-CN"/>
        </w:rPr>
        <w:t>*****</w:t>
      </w:r>
      <w:r>
        <w:rPr>
          <w:rFonts w:hint="eastAsia" w:ascii="仿宋_GB2312" w:hAnsi="仿宋_GB2312" w:eastAsia="仿宋_GB2312" w:cs="仿宋_GB2312"/>
          <w:b/>
          <w:bCs/>
          <w:sz w:val="48"/>
        </w:rPr>
        <w:t>维修承包合同</w:t>
      </w:r>
    </w:p>
    <w:p w14:paraId="75F77F14">
      <w:pPr>
        <w:adjustRightInd w:val="0"/>
        <w:snapToGrid w:val="0"/>
        <w:spacing w:line="360" w:lineRule="auto"/>
        <w:jc w:val="center"/>
        <w:rPr>
          <w:rFonts w:hint="eastAsia" w:ascii="仿宋_GB2312" w:hAnsi="仿宋_GB2312" w:eastAsia="仿宋_GB2312" w:cs="仿宋_GB2312"/>
          <w:b/>
          <w:bCs/>
          <w:sz w:val="48"/>
        </w:rPr>
      </w:pPr>
    </w:p>
    <w:p w14:paraId="606D1C47">
      <w:pPr>
        <w:jc w:val="left"/>
        <w:rPr>
          <w:rFonts w:hint="eastAsia" w:ascii="仿宋_GB2312" w:hAnsi="仿宋_GB2312" w:eastAsia="仿宋_GB2312" w:cs="仿宋_GB2312"/>
          <w:b/>
          <w:sz w:val="36"/>
        </w:rPr>
      </w:pPr>
    </w:p>
    <w:p w14:paraId="77BFAD2C">
      <w:pPr>
        <w:jc w:val="left"/>
        <w:rPr>
          <w:rFonts w:hint="eastAsia" w:ascii="仿宋_GB2312" w:hAnsi="仿宋_GB2312" w:eastAsia="仿宋_GB2312" w:cs="仿宋_GB2312"/>
          <w:b/>
          <w:sz w:val="36"/>
        </w:rPr>
      </w:pPr>
    </w:p>
    <w:p w14:paraId="0190E832">
      <w:pPr>
        <w:jc w:val="left"/>
        <w:rPr>
          <w:rFonts w:hint="eastAsia" w:ascii="仿宋_GB2312" w:hAnsi="仿宋_GB2312" w:eastAsia="仿宋_GB2312" w:cs="仿宋_GB2312"/>
          <w:b/>
          <w:sz w:val="36"/>
        </w:rPr>
      </w:pPr>
    </w:p>
    <w:p w14:paraId="0C077D1D">
      <w:pPr>
        <w:jc w:val="left"/>
        <w:rPr>
          <w:rFonts w:hint="eastAsia" w:ascii="仿宋_GB2312" w:hAnsi="仿宋_GB2312" w:eastAsia="仿宋_GB2312" w:cs="仿宋_GB2312"/>
          <w:b/>
          <w:sz w:val="36"/>
        </w:rPr>
      </w:pPr>
    </w:p>
    <w:p w14:paraId="6AFC58A4">
      <w:pPr>
        <w:jc w:val="left"/>
        <w:rPr>
          <w:rFonts w:hint="eastAsia" w:ascii="仿宋_GB2312" w:hAnsi="仿宋_GB2312" w:eastAsia="仿宋_GB2312" w:cs="仿宋_GB2312"/>
          <w:b/>
          <w:sz w:val="36"/>
        </w:rPr>
      </w:pPr>
    </w:p>
    <w:p w14:paraId="724A2CCC">
      <w:pPr>
        <w:jc w:val="left"/>
        <w:rPr>
          <w:rFonts w:hint="eastAsia" w:ascii="仿宋_GB2312" w:hAnsi="仿宋_GB2312" w:eastAsia="仿宋_GB2312" w:cs="仿宋_GB2312"/>
          <w:b/>
          <w:sz w:val="36"/>
        </w:rPr>
      </w:pPr>
    </w:p>
    <w:tbl>
      <w:tblPr>
        <w:tblStyle w:val="46"/>
        <w:tblW w:w="0" w:type="auto"/>
        <w:jc w:val="center"/>
        <w:tblLayout w:type="fixed"/>
        <w:tblCellMar>
          <w:top w:w="0" w:type="dxa"/>
          <w:left w:w="108" w:type="dxa"/>
          <w:bottom w:w="0" w:type="dxa"/>
          <w:right w:w="108" w:type="dxa"/>
        </w:tblCellMar>
      </w:tblPr>
      <w:tblGrid>
        <w:gridCol w:w="2325"/>
        <w:gridCol w:w="4857"/>
      </w:tblGrid>
      <w:tr w14:paraId="42834214">
        <w:tblPrEx>
          <w:tblCellMar>
            <w:top w:w="0" w:type="dxa"/>
            <w:left w:w="108" w:type="dxa"/>
            <w:bottom w:w="0" w:type="dxa"/>
            <w:right w:w="108" w:type="dxa"/>
          </w:tblCellMar>
        </w:tblPrEx>
        <w:trPr>
          <w:trHeight w:val="567" w:hRule="exact"/>
          <w:jc w:val="center"/>
        </w:trPr>
        <w:tc>
          <w:tcPr>
            <w:tcW w:w="2325" w:type="dxa"/>
            <w:noWrap w:val="0"/>
            <w:vAlign w:val="top"/>
          </w:tcPr>
          <w:p w14:paraId="329ADC94">
            <w:pPr>
              <w:spacing w:line="48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甲 方：</w:t>
            </w:r>
          </w:p>
        </w:tc>
        <w:tc>
          <w:tcPr>
            <w:tcW w:w="4857" w:type="dxa"/>
            <w:noWrap w:val="0"/>
            <w:vAlign w:val="top"/>
          </w:tcPr>
          <w:p w14:paraId="00CE7350">
            <w:pPr>
              <w:spacing w:line="48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山东济钢环保新材料有限公司</w:t>
            </w:r>
          </w:p>
        </w:tc>
      </w:tr>
      <w:tr w14:paraId="3881216B">
        <w:tblPrEx>
          <w:tblCellMar>
            <w:top w:w="0" w:type="dxa"/>
            <w:left w:w="108" w:type="dxa"/>
            <w:bottom w:w="0" w:type="dxa"/>
            <w:right w:w="108" w:type="dxa"/>
          </w:tblCellMar>
        </w:tblPrEx>
        <w:trPr>
          <w:trHeight w:val="567" w:hRule="exact"/>
          <w:jc w:val="center"/>
        </w:trPr>
        <w:tc>
          <w:tcPr>
            <w:tcW w:w="2325" w:type="dxa"/>
            <w:noWrap w:val="0"/>
            <w:vAlign w:val="top"/>
          </w:tcPr>
          <w:p w14:paraId="0B68BE9F">
            <w:pPr>
              <w:spacing w:line="480" w:lineRule="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乙 方：</w:t>
            </w:r>
          </w:p>
        </w:tc>
        <w:tc>
          <w:tcPr>
            <w:tcW w:w="4857" w:type="dxa"/>
            <w:noWrap w:val="0"/>
            <w:vAlign w:val="top"/>
          </w:tcPr>
          <w:p w14:paraId="370336A9">
            <w:pPr>
              <w:spacing w:line="480" w:lineRule="auto"/>
              <w:rPr>
                <w:rFonts w:hint="eastAsia" w:ascii="仿宋_GB2312" w:hAnsi="仿宋_GB2312" w:eastAsia="仿宋_GB2312" w:cs="仿宋_GB2312"/>
                <w:b/>
                <w:sz w:val="28"/>
                <w:szCs w:val="28"/>
              </w:rPr>
            </w:pPr>
          </w:p>
        </w:tc>
      </w:tr>
    </w:tbl>
    <w:p w14:paraId="56161298">
      <w:pPr>
        <w:spacing w:line="480" w:lineRule="auto"/>
        <w:ind w:firstLine="963" w:firstLineChars="344"/>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签订地点：       济南市章丘区</w:t>
      </w:r>
    </w:p>
    <w:p w14:paraId="6C1BDB5D">
      <w:pPr>
        <w:spacing w:line="480" w:lineRule="auto"/>
        <w:jc w:val="center"/>
        <w:rPr>
          <w:rFonts w:hint="eastAsia" w:ascii="仿宋_GB2312" w:hAnsi="仿宋_GB2312" w:eastAsia="仿宋_GB2312" w:cs="仿宋_GB2312"/>
          <w:b/>
          <w:sz w:val="28"/>
          <w:szCs w:val="28"/>
        </w:rPr>
        <w:sectPr>
          <w:footerReference r:id="rId5" w:type="default"/>
          <w:pgSz w:w="11906" w:h="16838"/>
          <w:pgMar w:top="1440" w:right="1466" w:bottom="1440" w:left="1440" w:header="851" w:footer="992" w:gutter="0"/>
          <w:pgNumType w:fmt="decimal" w:start="1"/>
          <w:cols w:space="720" w:num="1"/>
          <w:docGrid w:type="linesAndChars" w:linePitch="312" w:charSpace="0"/>
        </w:sectPr>
      </w:pPr>
      <w:r>
        <w:rPr>
          <w:rFonts w:hint="eastAsia" w:ascii="仿宋_GB2312" w:hAnsi="仿宋_GB2312" w:eastAsia="仿宋_GB2312" w:cs="仿宋_GB2312"/>
          <w:b/>
          <w:sz w:val="28"/>
          <w:szCs w:val="28"/>
        </w:rPr>
        <w:t xml:space="preserve">   年  月  日                </w:t>
      </w:r>
    </w:p>
    <w:p w14:paraId="169E9EF8">
      <w:pPr>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single"/>
          <w:lang w:val="en-US" w:eastAsia="zh-CN"/>
        </w:rPr>
        <w:t>****</w:t>
      </w:r>
      <w:r>
        <w:rPr>
          <w:rFonts w:hint="eastAsia" w:ascii="仿宋_GB2312" w:hAnsi="仿宋_GB2312" w:eastAsia="仿宋_GB2312" w:cs="仿宋_GB2312"/>
          <w:b/>
          <w:bCs/>
          <w:sz w:val="36"/>
          <w:szCs w:val="36"/>
        </w:rPr>
        <w:t>维修承包合同</w:t>
      </w:r>
    </w:p>
    <w:p w14:paraId="089B1FD5">
      <w:pPr>
        <w:spacing w:line="420" w:lineRule="exact"/>
        <w:ind w:firstLine="560" w:firstLineChars="200"/>
        <w:rPr>
          <w:rFonts w:hint="eastAsia" w:ascii="仿宋_GB2312" w:eastAsia="仿宋_GB2312" w:cs="仿宋"/>
          <w:sz w:val="28"/>
          <w:szCs w:val="28"/>
        </w:rPr>
      </w:pPr>
    </w:p>
    <w:p w14:paraId="72FCF320">
      <w:pPr>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山东济钢环保新材料有限公司低压电机维修保养项目，经过竞争性谈判，由乙方承包此项目，为确保如期保质保量完成本项目，依据《中华人民共和国民法典》、有关法律法规和规程，结合项目具体情况，为明确各自的义务和责任，经双方协商一致，同意订立本合同如下，以便共同恪守执行。</w:t>
      </w:r>
    </w:p>
    <w:p w14:paraId="1E4566E9">
      <w:pPr>
        <w:spacing w:line="400" w:lineRule="exact"/>
        <w:rPr>
          <w:rFonts w:hint="eastAsia" w:ascii="仿宋_GB2312" w:hAnsi="仿宋_GB2312" w:eastAsia="仿宋_GB2312" w:cs="仿宋_GB2312"/>
          <w:b/>
          <w:bCs/>
          <w:color w:val="000000"/>
          <w:sz w:val="24"/>
          <w:lang w:eastAsia="zh-CN"/>
        </w:rPr>
      </w:pPr>
      <w:r>
        <w:rPr>
          <w:rFonts w:hint="eastAsia" w:ascii="仿宋_GB2312" w:hAnsi="仿宋_GB2312" w:eastAsia="仿宋_GB2312" w:cs="仿宋_GB2312"/>
          <w:b/>
          <w:bCs/>
          <w:color w:val="000000"/>
          <w:sz w:val="24"/>
          <w:lang w:val="en-US" w:eastAsia="zh-CN"/>
        </w:rPr>
        <w:t>一</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sz w:val="24"/>
          <w:lang w:val="en-US" w:eastAsia="zh-CN"/>
        </w:rPr>
        <w:t>合同范围、</w:t>
      </w:r>
      <w:r>
        <w:rPr>
          <w:rFonts w:hint="eastAsia" w:ascii="仿宋_GB2312" w:hAnsi="仿宋_GB2312" w:eastAsia="仿宋_GB2312" w:cs="仿宋_GB2312"/>
          <w:b/>
          <w:bCs/>
          <w:color w:val="000000"/>
          <w:sz w:val="24"/>
        </w:rPr>
        <w:t>价格及交付期限</w:t>
      </w:r>
      <w:r>
        <w:rPr>
          <w:rFonts w:hint="eastAsia" w:ascii="仿宋_GB2312" w:hAnsi="仿宋_GB2312" w:eastAsia="仿宋_GB2312" w:cs="仿宋_GB2312"/>
          <w:b/>
          <w:bCs/>
          <w:color w:val="000000"/>
          <w:sz w:val="24"/>
          <w:lang w:eastAsia="zh-CN"/>
        </w:rPr>
        <w:t>。</w:t>
      </w:r>
    </w:p>
    <w:p w14:paraId="75662C38">
      <w:pPr>
        <w:spacing w:line="400" w:lineRule="exact"/>
        <w:ind w:firstLine="560" w:firstLineChars="200"/>
        <w:rPr>
          <w:rFonts w:hint="eastAsia" w:ascii="仿宋_GB2312" w:hAnsi="仿宋_GB2312" w:eastAsia="仿宋_GB2312" w:cs="仿宋_GB2312"/>
          <w:color w:val="000000"/>
          <w:sz w:val="28"/>
          <w:szCs w:val="28"/>
        </w:rPr>
      </w:pPr>
      <w:bookmarkStart w:id="145" w:name="_Toc507025404"/>
      <w:bookmarkStart w:id="146" w:name="_Toc521503304"/>
      <w:r>
        <w:rPr>
          <w:rFonts w:hint="eastAsia" w:ascii="仿宋_GB2312" w:hAnsi="仿宋_GB2312" w:eastAsia="仿宋_GB2312" w:cs="仿宋_GB2312"/>
          <w:color w:val="000000"/>
          <w:sz w:val="28"/>
          <w:szCs w:val="28"/>
        </w:rPr>
        <w:t>1</w:t>
      </w:r>
      <w:bookmarkEnd w:id="145"/>
      <w:bookmarkEnd w:id="146"/>
      <w:r>
        <w:rPr>
          <w:rFonts w:hint="eastAsia" w:ascii="仿宋_GB2312" w:hAnsi="仿宋_GB2312" w:eastAsia="仿宋_GB2312" w:cs="仿宋_GB2312"/>
          <w:color w:val="000000"/>
          <w:sz w:val="28"/>
          <w:szCs w:val="28"/>
        </w:rPr>
        <w:t>.</w:t>
      </w:r>
      <w:bookmarkStart w:id="147" w:name="_Toc521503305"/>
      <w:bookmarkStart w:id="148" w:name="_Toc507025405"/>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lang w:val="zh-CN"/>
        </w:rPr>
        <w:t>年维修保养</w:t>
      </w:r>
      <w:r>
        <w:rPr>
          <w:rFonts w:hint="eastAsia" w:ascii="仿宋_GB2312" w:hAnsi="仿宋_GB2312" w:eastAsia="仿宋_GB2312" w:cs="仿宋_GB2312"/>
          <w:color w:val="000000"/>
          <w:sz w:val="28"/>
          <w:szCs w:val="28"/>
        </w:rPr>
        <w:t>内容</w:t>
      </w:r>
    </w:p>
    <w:tbl>
      <w:tblPr>
        <w:tblStyle w:val="46"/>
        <w:tblpPr w:leftFromText="180" w:rightFromText="180" w:vertAnchor="text" w:horzAnchor="page" w:tblpXSpec="center" w:tblpY="299"/>
        <w:tblOverlap w:val="never"/>
        <w:tblW w:w="9775" w:type="dxa"/>
        <w:jc w:val="center"/>
        <w:tblLayout w:type="fixed"/>
        <w:tblCellMar>
          <w:top w:w="0" w:type="dxa"/>
          <w:left w:w="108" w:type="dxa"/>
          <w:bottom w:w="0" w:type="dxa"/>
          <w:right w:w="108" w:type="dxa"/>
        </w:tblCellMar>
      </w:tblPr>
      <w:tblGrid>
        <w:gridCol w:w="793"/>
        <w:gridCol w:w="752"/>
        <w:gridCol w:w="2405"/>
        <w:gridCol w:w="835"/>
        <w:gridCol w:w="974"/>
        <w:gridCol w:w="974"/>
        <w:gridCol w:w="1125"/>
        <w:gridCol w:w="1917"/>
      </w:tblGrid>
      <w:tr w14:paraId="49B36C4C">
        <w:tblPrEx>
          <w:tblCellMar>
            <w:top w:w="0" w:type="dxa"/>
            <w:left w:w="108" w:type="dxa"/>
            <w:bottom w:w="0" w:type="dxa"/>
            <w:right w:w="108" w:type="dxa"/>
          </w:tblCellMar>
        </w:tblPrEx>
        <w:trPr>
          <w:trHeight w:val="593" w:hRule="atLeast"/>
          <w:jc w:val="center"/>
        </w:trPr>
        <w:tc>
          <w:tcPr>
            <w:tcW w:w="793" w:type="dxa"/>
            <w:tcBorders>
              <w:top w:val="single" w:color="auto" w:sz="4" w:space="0"/>
              <w:left w:val="single" w:color="auto" w:sz="4" w:space="0"/>
              <w:bottom w:val="single" w:color="auto" w:sz="4" w:space="0"/>
              <w:right w:val="single" w:color="auto" w:sz="4" w:space="0"/>
            </w:tcBorders>
            <w:noWrap/>
            <w:vAlign w:val="center"/>
          </w:tcPr>
          <w:p w14:paraId="55997EE7">
            <w:pPr>
              <w:jc w:val="center"/>
              <w:rPr>
                <w:b/>
                <w:bCs/>
                <w:color w:val="000000"/>
                <w:highlight w:val="white"/>
              </w:rPr>
            </w:pPr>
          </w:p>
        </w:tc>
        <w:tc>
          <w:tcPr>
            <w:tcW w:w="752" w:type="dxa"/>
            <w:tcBorders>
              <w:top w:val="single" w:color="auto" w:sz="4" w:space="0"/>
              <w:left w:val="single" w:color="auto" w:sz="4" w:space="0"/>
              <w:bottom w:val="single" w:color="auto" w:sz="4" w:space="0"/>
              <w:right w:val="single" w:color="auto" w:sz="4" w:space="0"/>
            </w:tcBorders>
            <w:noWrap/>
            <w:vAlign w:val="center"/>
          </w:tcPr>
          <w:p w14:paraId="4D0A8B96">
            <w:pPr>
              <w:jc w:val="center"/>
              <w:rPr>
                <w:b/>
                <w:bCs/>
                <w:color w:val="000000"/>
              </w:rPr>
            </w:pPr>
          </w:p>
        </w:tc>
        <w:tc>
          <w:tcPr>
            <w:tcW w:w="2405" w:type="dxa"/>
            <w:tcBorders>
              <w:top w:val="single" w:color="auto" w:sz="4" w:space="0"/>
              <w:left w:val="nil"/>
              <w:bottom w:val="single" w:color="auto" w:sz="4" w:space="0"/>
              <w:right w:val="single" w:color="auto" w:sz="4" w:space="0"/>
            </w:tcBorders>
            <w:noWrap/>
            <w:vAlign w:val="center"/>
          </w:tcPr>
          <w:p w14:paraId="7BA9B149">
            <w:pPr>
              <w:jc w:val="center"/>
              <w:rPr>
                <w:b/>
                <w:bCs/>
                <w:color w:val="000000"/>
              </w:rPr>
            </w:pPr>
          </w:p>
        </w:tc>
        <w:tc>
          <w:tcPr>
            <w:tcW w:w="835" w:type="dxa"/>
            <w:tcBorders>
              <w:top w:val="single" w:color="auto" w:sz="4" w:space="0"/>
              <w:left w:val="nil"/>
              <w:bottom w:val="single" w:color="auto" w:sz="4" w:space="0"/>
              <w:right w:val="single" w:color="auto" w:sz="4" w:space="0"/>
            </w:tcBorders>
            <w:noWrap/>
            <w:vAlign w:val="center"/>
          </w:tcPr>
          <w:p w14:paraId="656B895F">
            <w:pPr>
              <w:jc w:val="center"/>
              <w:rPr>
                <w:b/>
                <w:bCs/>
                <w:color w:val="000000"/>
                <w:highlight w:val="white"/>
              </w:rPr>
            </w:pPr>
          </w:p>
        </w:tc>
        <w:tc>
          <w:tcPr>
            <w:tcW w:w="974" w:type="dxa"/>
            <w:tcBorders>
              <w:top w:val="single" w:color="auto" w:sz="4" w:space="0"/>
              <w:left w:val="nil"/>
              <w:bottom w:val="single" w:color="auto" w:sz="4" w:space="0"/>
              <w:right w:val="single" w:color="auto" w:sz="4" w:space="0"/>
            </w:tcBorders>
            <w:noWrap/>
            <w:vAlign w:val="center"/>
          </w:tcPr>
          <w:p w14:paraId="38B68ADC">
            <w:pPr>
              <w:jc w:val="center"/>
              <w:rPr>
                <w:b/>
                <w:bCs/>
                <w:color w:val="000000"/>
                <w:highlight w:val="white"/>
              </w:rPr>
            </w:pPr>
          </w:p>
        </w:tc>
        <w:tc>
          <w:tcPr>
            <w:tcW w:w="974" w:type="dxa"/>
            <w:tcBorders>
              <w:top w:val="single" w:color="auto" w:sz="4" w:space="0"/>
              <w:left w:val="nil"/>
              <w:bottom w:val="single" w:color="auto" w:sz="4" w:space="0"/>
              <w:right w:val="single" w:color="auto" w:sz="4" w:space="0"/>
            </w:tcBorders>
            <w:noWrap/>
            <w:vAlign w:val="center"/>
          </w:tcPr>
          <w:p w14:paraId="17BEF555">
            <w:pPr>
              <w:jc w:val="center"/>
              <w:rPr>
                <w:b/>
                <w:bCs/>
                <w:color w:val="000000"/>
                <w:highlight w:val="white"/>
              </w:rPr>
            </w:pPr>
          </w:p>
        </w:tc>
        <w:tc>
          <w:tcPr>
            <w:tcW w:w="1125" w:type="dxa"/>
            <w:tcBorders>
              <w:top w:val="single" w:color="auto" w:sz="4" w:space="0"/>
              <w:left w:val="nil"/>
              <w:bottom w:val="single" w:color="auto" w:sz="4" w:space="0"/>
              <w:right w:val="single" w:color="auto" w:sz="4" w:space="0"/>
            </w:tcBorders>
            <w:noWrap/>
            <w:vAlign w:val="center"/>
          </w:tcPr>
          <w:p w14:paraId="7D24BD5F">
            <w:pPr>
              <w:jc w:val="center"/>
              <w:rPr>
                <w:b/>
                <w:bCs/>
                <w:color w:val="000000"/>
                <w:highlight w:val="white"/>
              </w:rPr>
            </w:pPr>
          </w:p>
        </w:tc>
        <w:tc>
          <w:tcPr>
            <w:tcW w:w="1917" w:type="dxa"/>
            <w:tcBorders>
              <w:top w:val="single" w:color="auto" w:sz="4" w:space="0"/>
              <w:left w:val="nil"/>
              <w:bottom w:val="single" w:color="auto" w:sz="4" w:space="0"/>
              <w:right w:val="single" w:color="auto" w:sz="4" w:space="0"/>
            </w:tcBorders>
            <w:noWrap/>
            <w:vAlign w:val="center"/>
          </w:tcPr>
          <w:p w14:paraId="47BCAD23">
            <w:pPr>
              <w:jc w:val="center"/>
              <w:rPr>
                <w:b/>
                <w:bCs/>
                <w:color w:val="000000"/>
                <w:highlight w:val="white"/>
              </w:rPr>
            </w:pPr>
          </w:p>
        </w:tc>
      </w:tr>
      <w:tr w14:paraId="0A770571">
        <w:tblPrEx>
          <w:tblCellMar>
            <w:top w:w="0" w:type="dxa"/>
            <w:left w:w="108" w:type="dxa"/>
            <w:bottom w:w="0" w:type="dxa"/>
            <w:right w:w="108" w:type="dxa"/>
          </w:tblCellMar>
        </w:tblPrEx>
        <w:trPr>
          <w:trHeight w:val="553" w:hRule="atLeast"/>
          <w:jc w:val="center"/>
        </w:trPr>
        <w:tc>
          <w:tcPr>
            <w:tcW w:w="793" w:type="dxa"/>
            <w:vMerge w:val="restart"/>
            <w:tcBorders>
              <w:top w:val="single" w:color="auto" w:sz="4" w:space="0"/>
              <w:left w:val="single" w:color="auto" w:sz="4" w:space="0"/>
              <w:bottom w:val="single" w:color="auto" w:sz="4" w:space="0"/>
              <w:right w:val="single" w:color="auto" w:sz="4" w:space="0"/>
            </w:tcBorders>
            <w:noWrap/>
            <w:vAlign w:val="center"/>
          </w:tcPr>
          <w:p w14:paraId="715E626A">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5494FCA7">
            <w:pPr>
              <w:jc w:val="center"/>
              <w:rPr>
                <w:color w:val="000000"/>
              </w:rPr>
            </w:pPr>
          </w:p>
        </w:tc>
        <w:tc>
          <w:tcPr>
            <w:tcW w:w="2405" w:type="dxa"/>
            <w:tcBorders>
              <w:top w:val="nil"/>
              <w:left w:val="nil"/>
              <w:bottom w:val="single" w:color="auto" w:sz="4" w:space="0"/>
              <w:right w:val="single" w:color="auto" w:sz="4" w:space="0"/>
            </w:tcBorders>
            <w:noWrap/>
            <w:vAlign w:val="center"/>
          </w:tcPr>
          <w:p w14:paraId="24F4AD78">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3AC9B102">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28CC4CA1">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1B1FE378">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02FEFF89">
            <w:pPr>
              <w:jc w:val="center"/>
              <w:rPr>
                <w:color w:val="000000"/>
              </w:rPr>
            </w:pPr>
          </w:p>
        </w:tc>
        <w:tc>
          <w:tcPr>
            <w:tcW w:w="1917" w:type="dxa"/>
            <w:vMerge w:val="restart"/>
            <w:tcBorders>
              <w:top w:val="single" w:color="auto" w:sz="4" w:space="0"/>
              <w:left w:val="single" w:color="auto" w:sz="4" w:space="0"/>
              <w:right w:val="single" w:color="auto" w:sz="4" w:space="0"/>
            </w:tcBorders>
            <w:noWrap/>
            <w:vAlign w:val="center"/>
          </w:tcPr>
          <w:p w14:paraId="086C4F0C">
            <w:pPr>
              <w:jc w:val="left"/>
              <w:rPr>
                <w:color w:val="000000"/>
              </w:rPr>
            </w:pPr>
          </w:p>
        </w:tc>
      </w:tr>
      <w:tr w14:paraId="0C445EE5">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4976F0C0">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7F8F5528">
            <w:pPr>
              <w:jc w:val="center"/>
              <w:rPr>
                <w:color w:val="000000"/>
              </w:rPr>
            </w:pPr>
          </w:p>
        </w:tc>
        <w:tc>
          <w:tcPr>
            <w:tcW w:w="2405" w:type="dxa"/>
            <w:tcBorders>
              <w:top w:val="nil"/>
              <w:left w:val="nil"/>
              <w:bottom w:val="single" w:color="auto" w:sz="4" w:space="0"/>
              <w:right w:val="single" w:color="auto" w:sz="4" w:space="0"/>
            </w:tcBorders>
            <w:noWrap/>
            <w:vAlign w:val="center"/>
          </w:tcPr>
          <w:p w14:paraId="1D999F21">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1B703774">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208674E7">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0EF2799D">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35EF142E">
            <w:pPr>
              <w:jc w:val="center"/>
              <w:rPr>
                <w:color w:val="000000"/>
              </w:rPr>
            </w:pPr>
          </w:p>
        </w:tc>
        <w:tc>
          <w:tcPr>
            <w:tcW w:w="1917" w:type="dxa"/>
            <w:vMerge w:val="continue"/>
            <w:tcBorders>
              <w:left w:val="single" w:color="auto" w:sz="4" w:space="0"/>
              <w:right w:val="single" w:color="auto" w:sz="4" w:space="0"/>
            </w:tcBorders>
            <w:noWrap/>
            <w:vAlign w:val="center"/>
          </w:tcPr>
          <w:p w14:paraId="7CF93351">
            <w:pPr>
              <w:jc w:val="center"/>
              <w:rPr>
                <w:color w:val="000000"/>
              </w:rPr>
            </w:pPr>
          </w:p>
        </w:tc>
      </w:tr>
      <w:tr w14:paraId="7DCB3695">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44BA5089">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08AAF75C">
            <w:pPr>
              <w:jc w:val="center"/>
              <w:rPr>
                <w:color w:val="000000"/>
              </w:rPr>
            </w:pPr>
          </w:p>
        </w:tc>
        <w:tc>
          <w:tcPr>
            <w:tcW w:w="2405" w:type="dxa"/>
            <w:tcBorders>
              <w:top w:val="nil"/>
              <w:left w:val="nil"/>
              <w:bottom w:val="single" w:color="auto" w:sz="4" w:space="0"/>
              <w:right w:val="single" w:color="auto" w:sz="4" w:space="0"/>
            </w:tcBorders>
            <w:noWrap/>
            <w:vAlign w:val="center"/>
          </w:tcPr>
          <w:p w14:paraId="646569C9">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0A5E6E53">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57CE3639">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5D322DD5">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46069F9A">
            <w:pPr>
              <w:jc w:val="center"/>
              <w:rPr>
                <w:color w:val="000000"/>
              </w:rPr>
            </w:pPr>
          </w:p>
        </w:tc>
        <w:tc>
          <w:tcPr>
            <w:tcW w:w="1917" w:type="dxa"/>
            <w:vMerge w:val="continue"/>
            <w:tcBorders>
              <w:left w:val="single" w:color="auto" w:sz="4" w:space="0"/>
              <w:right w:val="single" w:color="auto" w:sz="4" w:space="0"/>
            </w:tcBorders>
            <w:noWrap/>
            <w:vAlign w:val="center"/>
          </w:tcPr>
          <w:p w14:paraId="37ECCDA8">
            <w:pPr>
              <w:jc w:val="center"/>
              <w:rPr>
                <w:color w:val="000000"/>
              </w:rPr>
            </w:pPr>
          </w:p>
        </w:tc>
      </w:tr>
      <w:tr w14:paraId="20285DFF">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13AED7C5">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316A4395">
            <w:pPr>
              <w:jc w:val="center"/>
              <w:rPr>
                <w:color w:val="000000"/>
              </w:rPr>
            </w:pPr>
          </w:p>
        </w:tc>
        <w:tc>
          <w:tcPr>
            <w:tcW w:w="2405" w:type="dxa"/>
            <w:tcBorders>
              <w:top w:val="nil"/>
              <w:left w:val="nil"/>
              <w:bottom w:val="single" w:color="auto" w:sz="4" w:space="0"/>
              <w:right w:val="single" w:color="auto" w:sz="4" w:space="0"/>
            </w:tcBorders>
            <w:noWrap/>
            <w:vAlign w:val="center"/>
          </w:tcPr>
          <w:p w14:paraId="75B9E37C">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012F6280">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50C9FE6B">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6F48BCB5">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746A1460">
            <w:pPr>
              <w:jc w:val="center"/>
              <w:rPr>
                <w:color w:val="000000"/>
              </w:rPr>
            </w:pPr>
          </w:p>
        </w:tc>
        <w:tc>
          <w:tcPr>
            <w:tcW w:w="1917" w:type="dxa"/>
            <w:vMerge w:val="continue"/>
            <w:tcBorders>
              <w:left w:val="single" w:color="auto" w:sz="4" w:space="0"/>
              <w:right w:val="single" w:color="auto" w:sz="4" w:space="0"/>
            </w:tcBorders>
            <w:noWrap/>
            <w:vAlign w:val="center"/>
          </w:tcPr>
          <w:p w14:paraId="22FA08EA">
            <w:pPr>
              <w:jc w:val="center"/>
              <w:rPr>
                <w:color w:val="000000"/>
              </w:rPr>
            </w:pPr>
          </w:p>
        </w:tc>
      </w:tr>
      <w:tr w14:paraId="00EC5C54">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1E651D33">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1AE8BF5A">
            <w:pPr>
              <w:jc w:val="center"/>
              <w:rPr>
                <w:color w:val="000000"/>
              </w:rPr>
            </w:pPr>
          </w:p>
        </w:tc>
        <w:tc>
          <w:tcPr>
            <w:tcW w:w="2405" w:type="dxa"/>
            <w:tcBorders>
              <w:top w:val="nil"/>
              <w:left w:val="nil"/>
              <w:bottom w:val="single" w:color="auto" w:sz="4" w:space="0"/>
              <w:right w:val="single" w:color="auto" w:sz="4" w:space="0"/>
            </w:tcBorders>
            <w:noWrap/>
            <w:vAlign w:val="center"/>
          </w:tcPr>
          <w:p w14:paraId="1DCCBD6F">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553933FC">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724DC879">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65F8A8F0">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2976E523">
            <w:pPr>
              <w:jc w:val="center"/>
              <w:rPr>
                <w:color w:val="000000"/>
              </w:rPr>
            </w:pPr>
          </w:p>
        </w:tc>
        <w:tc>
          <w:tcPr>
            <w:tcW w:w="1917" w:type="dxa"/>
            <w:vMerge w:val="continue"/>
            <w:tcBorders>
              <w:left w:val="single" w:color="auto" w:sz="4" w:space="0"/>
              <w:right w:val="single" w:color="auto" w:sz="4" w:space="0"/>
            </w:tcBorders>
            <w:noWrap/>
            <w:vAlign w:val="center"/>
          </w:tcPr>
          <w:p w14:paraId="69879DD4">
            <w:pPr>
              <w:jc w:val="center"/>
              <w:rPr>
                <w:color w:val="000000"/>
              </w:rPr>
            </w:pPr>
          </w:p>
        </w:tc>
      </w:tr>
      <w:tr w14:paraId="57DD84DA">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7F1FF6E8">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6928F2CA">
            <w:pPr>
              <w:jc w:val="center"/>
              <w:rPr>
                <w:color w:val="000000"/>
              </w:rPr>
            </w:pPr>
          </w:p>
        </w:tc>
        <w:tc>
          <w:tcPr>
            <w:tcW w:w="2405" w:type="dxa"/>
            <w:tcBorders>
              <w:top w:val="nil"/>
              <w:left w:val="nil"/>
              <w:bottom w:val="single" w:color="auto" w:sz="4" w:space="0"/>
              <w:right w:val="single" w:color="auto" w:sz="4" w:space="0"/>
            </w:tcBorders>
            <w:noWrap/>
            <w:vAlign w:val="center"/>
          </w:tcPr>
          <w:p w14:paraId="4C6B830A">
            <w:pPr>
              <w:jc w:val="center"/>
              <w:rPr>
                <w:color w:val="000000"/>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60D85F03">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1636481C">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70D5C5A0">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229FE3DE">
            <w:pPr>
              <w:jc w:val="center"/>
              <w:rPr>
                <w:color w:val="000000"/>
              </w:rPr>
            </w:pPr>
          </w:p>
        </w:tc>
        <w:tc>
          <w:tcPr>
            <w:tcW w:w="1917" w:type="dxa"/>
            <w:vMerge w:val="continue"/>
            <w:tcBorders>
              <w:left w:val="single" w:color="auto" w:sz="4" w:space="0"/>
              <w:right w:val="single" w:color="auto" w:sz="4" w:space="0"/>
            </w:tcBorders>
            <w:noWrap/>
            <w:vAlign w:val="center"/>
          </w:tcPr>
          <w:p w14:paraId="59190737">
            <w:pPr>
              <w:jc w:val="center"/>
              <w:rPr>
                <w:color w:val="000000"/>
              </w:rPr>
            </w:pPr>
          </w:p>
        </w:tc>
      </w:tr>
      <w:tr w14:paraId="23E9391A">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3C58FF9E">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40DDD3D2">
            <w:pPr>
              <w:jc w:val="center"/>
              <w:rPr>
                <w:color w:val="000000"/>
              </w:rPr>
            </w:pPr>
          </w:p>
        </w:tc>
        <w:tc>
          <w:tcPr>
            <w:tcW w:w="2405" w:type="dxa"/>
            <w:tcBorders>
              <w:top w:val="nil"/>
              <w:left w:val="nil"/>
              <w:bottom w:val="single" w:color="auto" w:sz="4" w:space="0"/>
              <w:right w:val="single" w:color="auto" w:sz="4" w:space="0"/>
            </w:tcBorders>
            <w:noWrap/>
            <w:vAlign w:val="center"/>
          </w:tcPr>
          <w:p w14:paraId="72259AA5">
            <w:pPr>
              <w:jc w:val="center"/>
              <w:rPr>
                <w:color w:val="000000"/>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02BD0C9A">
            <w:pPr>
              <w:jc w:val="center"/>
              <w:rPr>
                <w:color w:val="000000"/>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49BCD70A">
            <w:pPr>
              <w:jc w:val="center"/>
              <w:rPr>
                <w:color w:val="000000"/>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2EFAA2CD">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641C99D0">
            <w:pPr>
              <w:jc w:val="center"/>
              <w:rPr>
                <w:color w:val="000000"/>
              </w:rPr>
            </w:pPr>
          </w:p>
        </w:tc>
        <w:tc>
          <w:tcPr>
            <w:tcW w:w="1917" w:type="dxa"/>
            <w:vMerge w:val="continue"/>
            <w:tcBorders>
              <w:left w:val="single" w:color="auto" w:sz="4" w:space="0"/>
              <w:right w:val="single" w:color="auto" w:sz="4" w:space="0"/>
            </w:tcBorders>
            <w:noWrap/>
            <w:vAlign w:val="center"/>
          </w:tcPr>
          <w:p w14:paraId="2F6872A1">
            <w:pPr>
              <w:jc w:val="center"/>
              <w:rPr>
                <w:color w:val="000000"/>
              </w:rPr>
            </w:pPr>
          </w:p>
        </w:tc>
      </w:tr>
      <w:tr w14:paraId="60B4F6C4">
        <w:tblPrEx>
          <w:tblCellMar>
            <w:top w:w="0" w:type="dxa"/>
            <w:left w:w="108" w:type="dxa"/>
            <w:bottom w:w="0" w:type="dxa"/>
            <w:right w:w="108" w:type="dxa"/>
          </w:tblCellMar>
        </w:tblPrEx>
        <w:trPr>
          <w:trHeight w:val="553" w:hRule="atLeast"/>
          <w:jc w:val="center"/>
        </w:trPr>
        <w:tc>
          <w:tcPr>
            <w:tcW w:w="793" w:type="dxa"/>
            <w:vMerge w:val="restart"/>
            <w:tcBorders>
              <w:top w:val="single" w:color="auto" w:sz="4" w:space="0"/>
              <w:left w:val="single" w:color="auto" w:sz="4" w:space="0"/>
              <w:bottom w:val="single" w:color="auto" w:sz="4" w:space="0"/>
              <w:right w:val="single" w:color="auto" w:sz="4" w:space="0"/>
            </w:tcBorders>
            <w:noWrap/>
            <w:vAlign w:val="center"/>
          </w:tcPr>
          <w:p w14:paraId="056234E5">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15DAB5A3">
            <w:pPr>
              <w:jc w:val="center"/>
              <w:rPr>
                <w:color w:val="000000"/>
              </w:rPr>
            </w:pPr>
          </w:p>
        </w:tc>
        <w:tc>
          <w:tcPr>
            <w:tcW w:w="2405" w:type="dxa"/>
            <w:tcBorders>
              <w:top w:val="nil"/>
              <w:left w:val="nil"/>
              <w:bottom w:val="single" w:color="auto" w:sz="4" w:space="0"/>
              <w:right w:val="single" w:color="auto" w:sz="4" w:space="0"/>
            </w:tcBorders>
            <w:noWrap/>
            <w:vAlign w:val="center"/>
          </w:tcPr>
          <w:p w14:paraId="45298F46">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089BBCA2">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00C931C1">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2EB17880">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1FC07964">
            <w:pPr>
              <w:jc w:val="center"/>
              <w:rPr>
                <w:color w:val="000000"/>
              </w:rPr>
            </w:pPr>
          </w:p>
        </w:tc>
        <w:tc>
          <w:tcPr>
            <w:tcW w:w="1917" w:type="dxa"/>
            <w:vMerge w:val="continue"/>
            <w:tcBorders>
              <w:left w:val="single" w:color="auto" w:sz="4" w:space="0"/>
              <w:right w:val="single" w:color="auto" w:sz="4" w:space="0"/>
            </w:tcBorders>
            <w:noWrap/>
            <w:vAlign w:val="center"/>
          </w:tcPr>
          <w:p w14:paraId="5AFB27E4">
            <w:pPr>
              <w:jc w:val="center"/>
              <w:rPr>
                <w:color w:val="000000"/>
              </w:rPr>
            </w:pPr>
          </w:p>
        </w:tc>
      </w:tr>
      <w:tr w14:paraId="0C87B5A0">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651003A9">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35E71495">
            <w:pPr>
              <w:jc w:val="center"/>
              <w:rPr>
                <w:color w:val="000000"/>
              </w:rPr>
            </w:pPr>
          </w:p>
        </w:tc>
        <w:tc>
          <w:tcPr>
            <w:tcW w:w="2405" w:type="dxa"/>
            <w:tcBorders>
              <w:top w:val="nil"/>
              <w:left w:val="nil"/>
              <w:bottom w:val="single" w:color="auto" w:sz="4" w:space="0"/>
              <w:right w:val="single" w:color="auto" w:sz="4" w:space="0"/>
            </w:tcBorders>
            <w:noWrap/>
            <w:vAlign w:val="center"/>
          </w:tcPr>
          <w:p w14:paraId="7D690DC9">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449B5D0A">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0107F8F1">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24252951">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0CDA75E9">
            <w:pPr>
              <w:jc w:val="center"/>
              <w:rPr>
                <w:color w:val="000000"/>
              </w:rPr>
            </w:pPr>
          </w:p>
        </w:tc>
        <w:tc>
          <w:tcPr>
            <w:tcW w:w="1917" w:type="dxa"/>
            <w:vMerge w:val="continue"/>
            <w:tcBorders>
              <w:left w:val="single" w:color="auto" w:sz="4" w:space="0"/>
              <w:right w:val="single" w:color="auto" w:sz="4" w:space="0"/>
            </w:tcBorders>
            <w:noWrap/>
            <w:vAlign w:val="center"/>
          </w:tcPr>
          <w:p w14:paraId="38DAC48C">
            <w:pPr>
              <w:jc w:val="center"/>
              <w:rPr>
                <w:color w:val="000000"/>
              </w:rPr>
            </w:pPr>
          </w:p>
        </w:tc>
      </w:tr>
      <w:tr w14:paraId="6CB2AA33">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67F5E751">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2C165AB9">
            <w:pPr>
              <w:jc w:val="center"/>
              <w:rPr>
                <w:color w:val="000000"/>
              </w:rPr>
            </w:pPr>
          </w:p>
        </w:tc>
        <w:tc>
          <w:tcPr>
            <w:tcW w:w="2405" w:type="dxa"/>
            <w:tcBorders>
              <w:top w:val="nil"/>
              <w:left w:val="nil"/>
              <w:bottom w:val="single" w:color="auto" w:sz="4" w:space="0"/>
              <w:right w:val="single" w:color="auto" w:sz="4" w:space="0"/>
            </w:tcBorders>
            <w:noWrap/>
            <w:vAlign w:val="center"/>
          </w:tcPr>
          <w:p w14:paraId="71961A48">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5B97AD3A">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49C50FDF">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2736061B">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3FA28BD4">
            <w:pPr>
              <w:jc w:val="center"/>
              <w:rPr>
                <w:color w:val="000000"/>
              </w:rPr>
            </w:pPr>
          </w:p>
        </w:tc>
        <w:tc>
          <w:tcPr>
            <w:tcW w:w="1917" w:type="dxa"/>
            <w:vMerge w:val="continue"/>
            <w:tcBorders>
              <w:left w:val="single" w:color="auto" w:sz="4" w:space="0"/>
              <w:right w:val="single" w:color="auto" w:sz="4" w:space="0"/>
            </w:tcBorders>
            <w:noWrap/>
            <w:vAlign w:val="center"/>
          </w:tcPr>
          <w:p w14:paraId="0DB78984">
            <w:pPr>
              <w:jc w:val="center"/>
              <w:rPr>
                <w:color w:val="000000"/>
              </w:rPr>
            </w:pPr>
          </w:p>
        </w:tc>
      </w:tr>
      <w:tr w14:paraId="1F4F4ACF">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3B15854B">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7BE53D27">
            <w:pPr>
              <w:jc w:val="center"/>
              <w:rPr>
                <w:color w:val="000000"/>
              </w:rPr>
            </w:pPr>
          </w:p>
        </w:tc>
        <w:tc>
          <w:tcPr>
            <w:tcW w:w="2405" w:type="dxa"/>
            <w:tcBorders>
              <w:top w:val="nil"/>
              <w:left w:val="nil"/>
              <w:bottom w:val="single" w:color="auto" w:sz="4" w:space="0"/>
              <w:right w:val="single" w:color="auto" w:sz="4" w:space="0"/>
            </w:tcBorders>
            <w:noWrap/>
            <w:vAlign w:val="center"/>
          </w:tcPr>
          <w:p w14:paraId="1D1220B0">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222B18F9">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3DFA5BFE">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26F258A3">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21363C00">
            <w:pPr>
              <w:jc w:val="center"/>
              <w:rPr>
                <w:color w:val="000000"/>
              </w:rPr>
            </w:pPr>
          </w:p>
        </w:tc>
        <w:tc>
          <w:tcPr>
            <w:tcW w:w="1917" w:type="dxa"/>
            <w:vMerge w:val="continue"/>
            <w:tcBorders>
              <w:left w:val="single" w:color="auto" w:sz="4" w:space="0"/>
              <w:right w:val="single" w:color="auto" w:sz="4" w:space="0"/>
            </w:tcBorders>
            <w:noWrap/>
            <w:vAlign w:val="center"/>
          </w:tcPr>
          <w:p w14:paraId="10F0B3A4">
            <w:pPr>
              <w:jc w:val="center"/>
              <w:rPr>
                <w:color w:val="000000"/>
              </w:rPr>
            </w:pPr>
          </w:p>
        </w:tc>
      </w:tr>
      <w:tr w14:paraId="091BBE47">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520D3AF8">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07C18EFA">
            <w:pPr>
              <w:jc w:val="center"/>
              <w:rPr>
                <w:color w:val="000000"/>
              </w:rPr>
            </w:pPr>
          </w:p>
        </w:tc>
        <w:tc>
          <w:tcPr>
            <w:tcW w:w="2405" w:type="dxa"/>
            <w:tcBorders>
              <w:top w:val="nil"/>
              <w:left w:val="nil"/>
              <w:bottom w:val="single" w:color="auto" w:sz="4" w:space="0"/>
              <w:right w:val="single" w:color="auto" w:sz="4" w:space="0"/>
            </w:tcBorders>
            <w:noWrap/>
            <w:vAlign w:val="center"/>
          </w:tcPr>
          <w:p w14:paraId="2E398C45">
            <w:pPr>
              <w:jc w:val="center"/>
            </w:pPr>
          </w:p>
        </w:tc>
        <w:tc>
          <w:tcPr>
            <w:tcW w:w="835" w:type="dxa"/>
            <w:tcBorders>
              <w:top w:val="single" w:color="auto" w:sz="4" w:space="0"/>
              <w:left w:val="single" w:color="auto" w:sz="4" w:space="0"/>
              <w:bottom w:val="single" w:color="auto" w:sz="4" w:space="0"/>
              <w:right w:val="single" w:color="auto" w:sz="4" w:space="0"/>
            </w:tcBorders>
            <w:noWrap/>
            <w:vAlign w:val="center"/>
          </w:tcPr>
          <w:p w14:paraId="4214C73D">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65416428">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09F94DCB">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14676755">
            <w:pPr>
              <w:jc w:val="center"/>
              <w:rPr>
                <w:color w:val="000000"/>
              </w:rPr>
            </w:pPr>
          </w:p>
        </w:tc>
        <w:tc>
          <w:tcPr>
            <w:tcW w:w="1917" w:type="dxa"/>
            <w:vMerge w:val="continue"/>
            <w:tcBorders>
              <w:left w:val="single" w:color="auto" w:sz="4" w:space="0"/>
              <w:right w:val="single" w:color="auto" w:sz="4" w:space="0"/>
            </w:tcBorders>
            <w:noWrap/>
            <w:vAlign w:val="center"/>
          </w:tcPr>
          <w:p w14:paraId="68FF611A">
            <w:pPr>
              <w:jc w:val="center"/>
              <w:rPr>
                <w:color w:val="000000"/>
              </w:rPr>
            </w:pPr>
          </w:p>
        </w:tc>
      </w:tr>
      <w:tr w14:paraId="69B406BC">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58A9D984">
            <w:pPr>
              <w:jc w:val="center"/>
              <w:rPr>
                <w:color w:val="000000"/>
              </w:rPr>
            </w:pPr>
          </w:p>
        </w:tc>
        <w:tc>
          <w:tcPr>
            <w:tcW w:w="752" w:type="dxa"/>
            <w:tcBorders>
              <w:top w:val="nil"/>
              <w:left w:val="single" w:color="auto" w:sz="4" w:space="0"/>
              <w:bottom w:val="single" w:color="auto" w:sz="4" w:space="0"/>
              <w:right w:val="single" w:color="auto" w:sz="4" w:space="0"/>
            </w:tcBorders>
            <w:noWrap/>
            <w:vAlign w:val="center"/>
          </w:tcPr>
          <w:p w14:paraId="647EED42">
            <w:pPr>
              <w:jc w:val="center"/>
              <w:rPr>
                <w:color w:val="000000"/>
              </w:rPr>
            </w:pPr>
          </w:p>
        </w:tc>
        <w:tc>
          <w:tcPr>
            <w:tcW w:w="2405" w:type="dxa"/>
            <w:tcBorders>
              <w:top w:val="nil"/>
              <w:left w:val="nil"/>
              <w:bottom w:val="single" w:color="auto" w:sz="4" w:space="0"/>
              <w:right w:val="single" w:color="auto" w:sz="4" w:space="0"/>
            </w:tcBorders>
            <w:noWrap/>
            <w:vAlign w:val="center"/>
          </w:tcPr>
          <w:p w14:paraId="3816D96B">
            <w:pPr>
              <w:jc w:val="center"/>
              <w:rPr>
                <w:color w:val="000000"/>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503E17AE">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7FCE9EB8">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22152004">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7D788C9C">
            <w:pPr>
              <w:jc w:val="center"/>
              <w:rPr>
                <w:color w:val="000000"/>
              </w:rPr>
            </w:pPr>
          </w:p>
        </w:tc>
        <w:tc>
          <w:tcPr>
            <w:tcW w:w="1917" w:type="dxa"/>
            <w:vMerge w:val="continue"/>
            <w:tcBorders>
              <w:left w:val="single" w:color="auto" w:sz="4" w:space="0"/>
              <w:right w:val="single" w:color="auto" w:sz="4" w:space="0"/>
            </w:tcBorders>
            <w:noWrap/>
            <w:vAlign w:val="center"/>
          </w:tcPr>
          <w:p w14:paraId="732F5197">
            <w:pPr>
              <w:jc w:val="center"/>
              <w:rPr>
                <w:color w:val="000000"/>
              </w:rPr>
            </w:pPr>
          </w:p>
        </w:tc>
      </w:tr>
      <w:tr w14:paraId="5613171C">
        <w:trPr>
          <w:trHeight w:val="30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6B8A62A4">
            <w:pPr>
              <w:jc w:val="center"/>
              <w:rPr>
                <w:color w:val="000000"/>
              </w:rPr>
            </w:pPr>
          </w:p>
        </w:tc>
        <w:tc>
          <w:tcPr>
            <w:tcW w:w="752" w:type="dxa"/>
            <w:tcBorders>
              <w:top w:val="nil"/>
              <w:left w:val="single" w:color="auto" w:sz="4" w:space="0"/>
              <w:bottom w:val="nil"/>
              <w:right w:val="single" w:color="auto" w:sz="4" w:space="0"/>
            </w:tcBorders>
            <w:noWrap/>
            <w:vAlign w:val="center"/>
          </w:tcPr>
          <w:p w14:paraId="76C87C59">
            <w:pPr>
              <w:jc w:val="center"/>
              <w:rPr>
                <w:color w:val="000000"/>
              </w:rPr>
            </w:pPr>
          </w:p>
        </w:tc>
        <w:tc>
          <w:tcPr>
            <w:tcW w:w="2405" w:type="dxa"/>
            <w:tcBorders>
              <w:top w:val="nil"/>
              <w:left w:val="nil"/>
              <w:bottom w:val="nil"/>
              <w:right w:val="single" w:color="auto" w:sz="4" w:space="0"/>
            </w:tcBorders>
            <w:noWrap/>
            <w:vAlign w:val="center"/>
          </w:tcPr>
          <w:p w14:paraId="1C6D8D3F">
            <w:pPr>
              <w:jc w:val="center"/>
              <w:rPr>
                <w:color w:val="000000"/>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1D95A5BD">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1270CA90">
            <w:pPr>
              <w:jc w:val="center"/>
            </w:pPr>
          </w:p>
        </w:tc>
        <w:tc>
          <w:tcPr>
            <w:tcW w:w="974" w:type="dxa"/>
            <w:tcBorders>
              <w:top w:val="single" w:color="auto" w:sz="4" w:space="0"/>
              <w:left w:val="single" w:color="auto" w:sz="4" w:space="0"/>
              <w:bottom w:val="single" w:color="auto" w:sz="4" w:space="0"/>
              <w:right w:val="single" w:color="auto" w:sz="4" w:space="0"/>
            </w:tcBorders>
            <w:noWrap/>
            <w:vAlign w:val="center"/>
          </w:tcPr>
          <w:p w14:paraId="339B94A8">
            <w:pPr>
              <w:jc w:val="center"/>
              <w:rPr>
                <w:color w:val="000000"/>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0004562F">
            <w:pPr>
              <w:jc w:val="center"/>
              <w:rPr>
                <w:color w:val="000000"/>
              </w:rPr>
            </w:pPr>
          </w:p>
        </w:tc>
        <w:tc>
          <w:tcPr>
            <w:tcW w:w="1917" w:type="dxa"/>
            <w:vMerge w:val="continue"/>
            <w:tcBorders>
              <w:left w:val="single" w:color="auto" w:sz="4" w:space="0"/>
              <w:bottom w:val="single" w:color="auto" w:sz="4" w:space="0"/>
              <w:right w:val="single" w:color="auto" w:sz="4" w:space="0"/>
            </w:tcBorders>
            <w:noWrap/>
            <w:vAlign w:val="center"/>
          </w:tcPr>
          <w:p w14:paraId="1C0AEC46">
            <w:pPr>
              <w:jc w:val="center"/>
              <w:rPr>
                <w:color w:val="000000"/>
              </w:rPr>
            </w:pPr>
          </w:p>
        </w:tc>
      </w:tr>
      <w:tr w14:paraId="57657AE0">
        <w:tblPrEx>
          <w:tblCellMar>
            <w:top w:w="0" w:type="dxa"/>
            <w:left w:w="108" w:type="dxa"/>
            <w:bottom w:w="0" w:type="dxa"/>
            <w:right w:w="108" w:type="dxa"/>
          </w:tblCellMar>
        </w:tblPrEx>
        <w:trPr>
          <w:trHeight w:val="307" w:hRule="atLeast"/>
          <w:jc w:val="center"/>
        </w:trPr>
        <w:tc>
          <w:tcPr>
            <w:tcW w:w="9775" w:type="dxa"/>
            <w:gridSpan w:val="8"/>
            <w:tcBorders>
              <w:top w:val="single" w:color="auto" w:sz="4" w:space="0"/>
              <w:left w:val="single" w:color="auto" w:sz="4" w:space="0"/>
              <w:bottom w:val="single" w:color="auto" w:sz="4" w:space="0"/>
              <w:right w:val="single" w:color="auto" w:sz="4" w:space="0"/>
            </w:tcBorders>
            <w:noWrap/>
            <w:vAlign w:val="top"/>
          </w:tcPr>
          <w:p w14:paraId="7A07EE1C">
            <w:pPr>
              <w:spacing w:line="420" w:lineRule="exact"/>
              <w:ind w:firstLine="480" w:firstLineChars="200"/>
              <w:rPr>
                <w:rFonts w:hint="eastAsia" w:ascii="仿宋_GB2312" w:eastAsia="仿宋_GB2312" w:cs="仿宋"/>
                <w:sz w:val="28"/>
                <w:szCs w:val="28"/>
              </w:rPr>
            </w:pPr>
            <w:r>
              <w:rPr>
                <w:rFonts w:hint="eastAsia" w:ascii="宋体" w:hAnsi="宋体" w:cs="宋体"/>
                <w:color w:val="000000"/>
                <w:sz w:val="24"/>
              </w:rPr>
              <w:t>合计人民币金额(大写)：     （含</w:t>
            </w:r>
            <w:r>
              <w:rPr>
                <w:rFonts w:hint="eastAsia" w:ascii="宋体" w:hAnsi="宋体" w:cs="宋体"/>
                <w:color w:val="000000"/>
                <w:sz w:val="24"/>
                <w:lang w:val="en-US" w:eastAsia="zh-CN"/>
              </w:rPr>
              <w:t>**</w:t>
            </w:r>
            <w:r>
              <w:rPr>
                <w:rFonts w:hint="eastAsia" w:ascii="宋体" w:hAnsi="宋体" w:cs="宋体"/>
                <w:color w:val="000000"/>
                <w:sz w:val="24"/>
              </w:rPr>
              <w:t>%增值税</w:t>
            </w:r>
            <w:r>
              <w:rPr>
                <w:rFonts w:hint="eastAsia" w:ascii="宋体" w:hAnsi="宋体" w:cs="宋体"/>
                <w:b/>
                <w:bCs/>
                <w:color w:val="000000"/>
                <w:sz w:val="24"/>
              </w:rPr>
              <w:t>¥</w:t>
            </w:r>
            <w:r>
              <w:rPr>
                <w:rFonts w:hint="eastAsia" w:ascii="宋体" w:hAnsi="宋体" w:cs="宋体"/>
                <w:color w:val="000000"/>
                <w:sz w:val="24"/>
              </w:rPr>
              <w:t xml:space="preserve">      ）</w:t>
            </w:r>
            <w:r>
              <w:rPr>
                <w:rFonts w:hint="eastAsia" w:ascii="仿宋_GB2312" w:eastAsia="仿宋_GB2312" w:cs="仿宋"/>
                <w:sz w:val="28"/>
                <w:szCs w:val="28"/>
              </w:rPr>
              <w:t>价格包括材料费、</w:t>
            </w:r>
            <w:r>
              <w:rPr>
                <w:rFonts w:hint="eastAsia" w:ascii="仿宋_GB2312" w:eastAsia="仿宋_GB2312" w:cs="仿宋"/>
                <w:sz w:val="28"/>
                <w:szCs w:val="28"/>
                <w:lang w:val="en-US" w:eastAsia="zh-CN"/>
              </w:rPr>
              <w:t>运费、</w:t>
            </w:r>
            <w:r>
              <w:rPr>
                <w:rFonts w:hint="eastAsia" w:ascii="仿宋_GB2312" w:eastAsia="仿宋_GB2312" w:cs="仿宋"/>
                <w:sz w:val="28"/>
                <w:szCs w:val="28"/>
              </w:rPr>
              <w:t>设备费、人工费、税金和服务等费用。</w:t>
            </w:r>
          </w:p>
          <w:p w14:paraId="0616ED4C">
            <w:pPr>
              <w:jc w:val="center"/>
              <w:rPr>
                <w:color w:val="000000"/>
              </w:rPr>
            </w:pPr>
          </w:p>
        </w:tc>
      </w:tr>
    </w:tbl>
    <w:p w14:paraId="3E95B77E">
      <w:pPr>
        <w:numPr>
          <w:ilvl w:val="0"/>
          <w:numId w:val="4"/>
        </w:numPr>
        <w:spacing w:line="4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auto"/>
          <w:sz w:val="28"/>
          <w:szCs w:val="28"/>
        </w:rPr>
        <w:t>合同额</w:t>
      </w:r>
      <w:r>
        <w:rPr>
          <w:rFonts w:hint="eastAsia" w:ascii="仿宋_GB2312" w:hAnsi="仿宋_GB2312" w:eastAsia="仿宋_GB2312" w:cs="仿宋_GB2312"/>
          <w:color w:val="auto"/>
          <w:sz w:val="28"/>
          <w:szCs w:val="28"/>
          <w:lang w:val="en-US" w:eastAsia="zh-CN"/>
        </w:rPr>
        <w:t>***元</w:t>
      </w:r>
      <w:r>
        <w:rPr>
          <w:rFonts w:hint="eastAsia" w:ascii="仿宋_GB2312" w:hAnsi="仿宋_GB2312" w:eastAsia="仿宋_GB2312" w:cs="仿宋_GB2312"/>
          <w:color w:val="0000FF"/>
          <w:sz w:val="28"/>
          <w:szCs w:val="28"/>
          <w:lang w:val="en-US" w:eastAsia="zh-CN"/>
        </w:rPr>
        <w:t>，</w:t>
      </w:r>
      <w:r>
        <w:rPr>
          <w:rFonts w:hint="eastAsia" w:ascii="仿宋_GB2312" w:hAnsi="仿宋_GB2312" w:eastAsia="仿宋_GB2312" w:cs="仿宋_GB2312"/>
          <w:color w:val="000000"/>
          <w:sz w:val="28"/>
          <w:szCs w:val="28"/>
        </w:rPr>
        <w:t>本合同履行过程中价格不受市场价格波动的影响</w:t>
      </w:r>
      <w:r>
        <w:rPr>
          <w:rFonts w:hint="eastAsia" w:ascii="仿宋_GB2312" w:hAnsi="仿宋_GB2312" w:eastAsia="仿宋_GB2312" w:cs="仿宋_GB2312"/>
          <w:color w:val="000000"/>
          <w:sz w:val="28"/>
          <w:szCs w:val="28"/>
          <w:lang w:eastAsia="zh-CN"/>
        </w:rPr>
        <w:t>，</w:t>
      </w:r>
      <w:r>
        <w:rPr>
          <w:rFonts w:hint="eastAsia" w:ascii="仿宋_GB2312" w:eastAsia="仿宋_GB2312" w:cs="仿宋"/>
          <w:sz w:val="28"/>
          <w:szCs w:val="28"/>
        </w:rPr>
        <w:t>实际结算以双方共同验收的实际数量乘以本合同单价为准</w:t>
      </w:r>
      <w:r>
        <w:rPr>
          <w:rFonts w:hint="eastAsia" w:ascii="仿宋_GB2312" w:hAnsi="仿宋_GB2312" w:eastAsia="仿宋_GB2312" w:cs="仿宋_GB2312"/>
          <w:color w:val="000000"/>
          <w:sz w:val="28"/>
          <w:szCs w:val="28"/>
          <w:lang w:val="zh-CN"/>
        </w:rPr>
        <w:t>。</w:t>
      </w:r>
    </w:p>
    <w:p w14:paraId="24ABF4CF">
      <w:pPr>
        <w:numPr>
          <w:ilvl w:val="0"/>
          <w:numId w:val="4"/>
        </w:numPr>
        <w:spacing w:line="4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eastAsia="仿宋_GB2312" w:cs="仿宋"/>
          <w:sz w:val="28"/>
          <w:szCs w:val="28"/>
          <w:lang w:val="en-US" w:eastAsia="zh-CN"/>
        </w:rPr>
        <w:t>维修后开具增值税专用发票，合同有效期内结算上限为合同价，合同到期或结算额达到结算上限后合同终止。</w:t>
      </w:r>
    </w:p>
    <w:p w14:paraId="2A2CAC87">
      <w:pPr>
        <w:numPr>
          <w:ilvl w:val="0"/>
          <w:numId w:val="4"/>
        </w:numPr>
        <w:spacing w:line="400" w:lineRule="exact"/>
        <w:ind w:firstLine="560" w:firstLineChars="200"/>
        <w:rPr>
          <w:rFonts w:hint="eastAsia" w:ascii="仿宋_GB2312" w:eastAsia="仿宋_GB2312" w:cs="仿宋"/>
          <w:sz w:val="28"/>
          <w:szCs w:val="28"/>
          <w:lang w:val="zh-CN" w:eastAsia="zh-CN"/>
        </w:rPr>
      </w:pPr>
      <w:r>
        <w:rPr>
          <w:rFonts w:hint="eastAsia" w:ascii="仿宋_GB2312" w:eastAsia="仿宋_GB2312" w:cs="仿宋"/>
          <w:sz w:val="28"/>
          <w:szCs w:val="28"/>
          <w:lang w:val="zh-CN" w:eastAsia="zh-CN"/>
        </w:rPr>
        <w:t>承包方式：包工包料。</w:t>
      </w:r>
    </w:p>
    <w:p w14:paraId="4B0102E2">
      <w:pPr>
        <w:numPr>
          <w:ilvl w:val="0"/>
          <w:numId w:val="4"/>
        </w:numPr>
        <w:spacing w:line="400" w:lineRule="exact"/>
        <w:ind w:firstLine="560" w:firstLineChars="200"/>
        <w:rPr>
          <w:rFonts w:hint="eastAsia" w:ascii="仿宋_GB2312" w:eastAsia="仿宋_GB2312" w:cs="仿宋"/>
          <w:sz w:val="28"/>
          <w:szCs w:val="28"/>
          <w:lang w:val="zh-CN" w:eastAsia="zh-CN"/>
        </w:rPr>
      </w:pPr>
      <w:r>
        <w:rPr>
          <w:rFonts w:hint="eastAsia" w:ascii="仿宋_GB2312" w:eastAsia="仿宋_GB2312" w:cs="仿宋"/>
          <w:sz w:val="28"/>
          <w:szCs w:val="28"/>
          <w:lang w:val="en-US" w:eastAsia="zh-CN"/>
        </w:rPr>
        <w:t>甲方负责电机拆电源线、电机拆除、起吊、安装找正、接线等工作，协助乙方在甲方驻地装卸需要维保的电机。</w:t>
      </w:r>
    </w:p>
    <w:bookmarkEnd w:id="147"/>
    <w:bookmarkEnd w:id="148"/>
    <w:p w14:paraId="5244A601">
      <w:pPr>
        <w:numPr>
          <w:ilvl w:val="0"/>
          <w:numId w:val="4"/>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质量要求：在接到通知后24小时内上门取件，x个日历天内完成修复并送回；符合国家、行业相关质量验收标准（需要提供试验报告）；轴承（滚动轴承）选用斯凯孚品牌轴承，轴瓦（滑动轴承）可选用国产轴瓦。</w:t>
      </w:r>
    </w:p>
    <w:p w14:paraId="755D7426">
      <w:pPr>
        <w:numPr>
          <w:ilvl w:val="0"/>
          <w:numId w:val="4"/>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维修质量缺陷修复期：维修送回通过验收后一年，在质保期内发生由于检修质量问题造成电机损坏的，由乙方负责免费重新修理；合同到期或终止合同后，乙方需继续履行应有的维修质保缺陷修复期义务，直至维修质保缺陷修复期结束。</w:t>
      </w:r>
    </w:p>
    <w:p w14:paraId="323BD5F9">
      <w:pPr>
        <w:numPr>
          <w:ilvl w:val="0"/>
          <w:numId w:val="4"/>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电机保养方式为拉回中标单位保养，保养包含烘干、轴承清理、电机内杂物检查清理、更换润滑油脂、动平衡检测、传感器测试等；当出现大修项时维修和保养费用不重复计算，只记维修费。</w:t>
      </w:r>
    </w:p>
    <w:p w14:paraId="0CBFA150">
      <w:pPr>
        <w:numPr>
          <w:ilvl w:val="0"/>
          <w:numId w:val="4"/>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电机从离开甲方住所地送回期间的意外损毁及灭失风险归乙方承担。</w:t>
      </w:r>
    </w:p>
    <w:p w14:paraId="096BBF3F">
      <w:pPr>
        <w:numPr>
          <w:ilvl w:val="0"/>
          <w:numId w:val="4"/>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合同在履行期间，遇国家税收政策调整，以不含税价格为准。税率调整后，未开增值税发票的货款相应调整，调整后的货款为：</w:t>
      </w:r>
    </w:p>
    <w:p w14:paraId="577B46BE">
      <w:pPr>
        <w:numPr>
          <w:ilvl w:val="0"/>
          <w:numId w:val="0"/>
        </w:numPr>
        <w:spacing w:line="400" w:lineRule="exact"/>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未开增值税发票的货款÷(1+原税率)×（1＋新税率）</w:t>
      </w:r>
    </w:p>
    <w:p w14:paraId="410E6FEA">
      <w:pPr>
        <w:numPr>
          <w:ilvl w:val="0"/>
          <w:numId w:val="4"/>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本合同计价货币、结算货币和支付货币为人民币。</w:t>
      </w:r>
    </w:p>
    <w:p w14:paraId="4950B1CE">
      <w:pPr>
        <w:numPr>
          <w:ilvl w:val="0"/>
          <w:numId w:val="4"/>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本合同有效期自合同签日起三年或结算额达到结算上限后合同终止。</w:t>
      </w:r>
    </w:p>
    <w:p w14:paraId="7E717802">
      <w:pPr>
        <w:pStyle w:val="59"/>
        <w:numPr>
          <w:ilvl w:val="0"/>
          <w:numId w:val="5"/>
        </w:numPr>
        <w:spacing w:line="420" w:lineRule="exact"/>
        <w:rPr>
          <w:rFonts w:hint="eastAsia" w:ascii="仿宋_GB2312" w:eastAsia="仿宋_GB2312"/>
          <w:sz w:val="28"/>
          <w:szCs w:val="28"/>
          <w:lang w:val="en-US" w:eastAsia="zh-CN"/>
        </w:rPr>
      </w:pPr>
      <w:r>
        <w:rPr>
          <w:rFonts w:hint="eastAsia" w:ascii="仿宋_GB2312" w:eastAsia="仿宋_GB2312"/>
          <w:sz w:val="28"/>
          <w:szCs w:val="28"/>
          <w:lang w:val="en-US" w:eastAsia="zh-CN"/>
        </w:rPr>
        <w:t>技术约定</w:t>
      </w:r>
    </w:p>
    <w:p w14:paraId="0CB0F27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1、依据电机修理的行业标准、</w:t>
      </w:r>
      <w:r>
        <w:rPr>
          <w:rFonts w:hint="eastAsia" w:ascii="仿宋_GB2312" w:hAnsi="仿宋_GB2312" w:eastAsia="仿宋_GB2312" w:cs="仿宋_GB2312"/>
          <w:b w:val="0"/>
          <w:bCs w:val="0"/>
          <w:color w:val="000000"/>
          <w:sz w:val="28"/>
          <w:szCs w:val="28"/>
          <w:lang w:val="en-US" w:eastAsia="zh-CN"/>
        </w:rPr>
        <w:t>甲方</w:t>
      </w:r>
      <w:r>
        <w:rPr>
          <w:rFonts w:hint="eastAsia" w:ascii="仿宋_GB2312" w:hAnsi="仿宋_GB2312" w:eastAsia="仿宋_GB2312" w:cs="仿宋_GB2312"/>
          <w:b w:val="0"/>
          <w:bCs w:val="0"/>
          <w:color w:val="000000"/>
          <w:sz w:val="28"/>
          <w:szCs w:val="28"/>
        </w:rPr>
        <w:t>的技术</w:t>
      </w:r>
      <w:r>
        <w:rPr>
          <w:rFonts w:hint="eastAsia" w:ascii="仿宋_GB2312" w:hAnsi="仿宋_GB2312" w:eastAsia="仿宋_GB2312" w:cs="仿宋_GB2312"/>
          <w:b w:val="0"/>
          <w:bCs w:val="0"/>
          <w:color w:val="000000"/>
          <w:sz w:val="28"/>
          <w:szCs w:val="28"/>
          <w:lang w:val="en-US" w:eastAsia="zh-CN"/>
        </w:rPr>
        <w:t>要求</w:t>
      </w:r>
      <w:r>
        <w:rPr>
          <w:rFonts w:hint="eastAsia" w:ascii="仿宋_GB2312" w:hAnsi="仿宋_GB2312" w:eastAsia="仿宋_GB2312" w:cs="仿宋_GB2312"/>
          <w:b w:val="0"/>
          <w:bCs w:val="0"/>
          <w:color w:val="000000"/>
          <w:sz w:val="28"/>
          <w:szCs w:val="28"/>
        </w:rPr>
        <w:t>，保证质量、按期完成电机修理</w:t>
      </w:r>
      <w:r>
        <w:rPr>
          <w:rFonts w:hint="eastAsia" w:ascii="仿宋_GB2312" w:hAnsi="仿宋_GB2312" w:eastAsia="仿宋_GB2312" w:cs="仿宋_GB2312"/>
          <w:b w:val="0"/>
          <w:bCs w:val="0"/>
          <w:color w:val="000000"/>
          <w:sz w:val="28"/>
          <w:szCs w:val="28"/>
          <w:lang w:eastAsia="zh-CN"/>
        </w:rPr>
        <w:t>。</w:t>
      </w:r>
    </w:p>
    <w:p w14:paraId="474ED75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2、接到电机修理通知后，及时到</w:t>
      </w:r>
      <w:r>
        <w:rPr>
          <w:rFonts w:hint="eastAsia" w:ascii="仿宋_GB2312" w:hAnsi="仿宋_GB2312" w:eastAsia="仿宋_GB2312" w:cs="仿宋_GB2312"/>
          <w:b w:val="0"/>
          <w:bCs w:val="0"/>
          <w:color w:val="000000"/>
          <w:sz w:val="28"/>
          <w:szCs w:val="28"/>
          <w:lang w:val="en-US" w:eastAsia="zh-CN"/>
        </w:rPr>
        <w:t>甲方</w:t>
      </w:r>
      <w:r>
        <w:rPr>
          <w:rFonts w:hint="eastAsia" w:ascii="仿宋_GB2312" w:hAnsi="仿宋_GB2312" w:eastAsia="仿宋_GB2312" w:cs="仿宋_GB2312"/>
          <w:b w:val="0"/>
          <w:bCs w:val="0"/>
          <w:color w:val="000000"/>
          <w:sz w:val="28"/>
          <w:szCs w:val="28"/>
        </w:rPr>
        <w:t>电机安装或指定地点将电机拉走，</w:t>
      </w:r>
      <w:r>
        <w:rPr>
          <w:rFonts w:hint="eastAsia" w:ascii="仿宋_GB2312" w:hAnsi="仿宋_GB2312" w:eastAsia="仿宋_GB2312" w:cs="仿宋_GB2312"/>
          <w:color w:val="000000"/>
          <w:sz w:val="28"/>
          <w:szCs w:val="28"/>
        </w:rPr>
        <w:t>修理完毕后</w:t>
      </w:r>
      <w:r>
        <w:rPr>
          <w:rFonts w:hint="eastAsia" w:ascii="仿宋_GB2312" w:hAnsi="仿宋_GB2312" w:eastAsia="仿宋_GB2312" w:cs="仿宋_GB2312"/>
          <w:color w:val="000000"/>
          <w:sz w:val="28"/>
          <w:szCs w:val="28"/>
          <w:lang w:val="en-US" w:eastAsia="zh-CN"/>
        </w:rPr>
        <w:t>悬挂维修时间标牌</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b w:val="0"/>
          <w:bCs w:val="0"/>
          <w:color w:val="000000"/>
          <w:sz w:val="28"/>
          <w:szCs w:val="28"/>
        </w:rPr>
        <w:t>及时送至指定的电机安装或存放地点</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同时提供维修试验报告</w:t>
      </w:r>
      <w:r>
        <w:rPr>
          <w:rFonts w:hint="eastAsia" w:ascii="仿宋_GB2312" w:hAnsi="仿宋_GB2312" w:eastAsia="仿宋_GB2312" w:cs="仿宋_GB2312"/>
          <w:b w:val="0"/>
          <w:bCs w:val="0"/>
          <w:color w:val="000000"/>
          <w:sz w:val="28"/>
          <w:szCs w:val="28"/>
          <w:lang w:eastAsia="zh-CN"/>
        </w:rPr>
        <w:t>。</w:t>
      </w:r>
    </w:p>
    <w:p w14:paraId="068A3F7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3、电机维修应在</w:t>
      </w:r>
      <w:r>
        <w:rPr>
          <w:rFonts w:hint="eastAsia" w:ascii="仿宋_GB2312" w:hAnsi="仿宋_GB2312" w:eastAsia="仿宋_GB2312" w:cs="仿宋_GB2312"/>
          <w:b w:val="0"/>
          <w:bCs w:val="0"/>
          <w:color w:val="000000"/>
          <w:sz w:val="28"/>
          <w:szCs w:val="28"/>
          <w:lang w:val="en-US" w:eastAsia="zh-CN"/>
        </w:rPr>
        <w:t>x日历天</w:t>
      </w:r>
      <w:r>
        <w:rPr>
          <w:rFonts w:hint="eastAsia" w:ascii="仿宋_GB2312" w:hAnsi="仿宋_GB2312" w:eastAsia="仿宋_GB2312" w:cs="仿宋_GB2312"/>
          <w:b w:val="0"/>
          <w:bCs w:val="0"/>
          <w:color w:val="000000"/>
          <w:sz w:val="28"/>
          <w:szCs w:val="28"/>
        </w:rPr>
        <w:t>内完成，如遇</w:t>
      </w:r>
      <w:r>
        <w:rPr>
          <w:rFonts w:hint="eastAsia" w:ascii="仿宋_GB2312" w:hAnsi="仿宋_GB2312" w:eastAsia="仿宋_GB2312" w:cs="仿宋_GB2312"/>
          <w:b w:val="0"/>
          <w:bCs w:val="0"/>
          <w:color w:val="000000"/>
          <w:sz w:val="28"/>
          <w:szCs w:val="28"/>
          <w:lang w:val="en-US" w:eastAsia="zh-CN"/>
        </w:rPr>
        <w:t>甲方</w:t>
      </w:r>
      <w:r>
        <w:rPr>
          <w:rFonts w:hint="eastAsia" w:ascii="仿宋_GB2312" w:hAnsi="仿宋_GB2312" w:eastAsia="仿宋_GB2312" w:cs="仿宋_GB2312"/>
          <w:b w:val="0"/>
          <w:bCs w:val="0"/>
          <w:color w:val="000000"/>
          <w:sz w:val="28"/>
          <w:szCs w:val="28"/>
        </w:rPr>
        <w:t>紧急抢修时，应保证24小时不间断维修，尽早完成维修工作</w:t>
      </w:r>
      <w:r>
        <w:rPr>
          <w:rFonts w:hint="eastAsia" w:ascii="仿宋_GB2312" w:hAnsi="仿宋_GB2312" w:eastAsia="仿宋_GB2312" w:cs="仿宋_GB2312"/>
          <w:b w:val="0"/>
          <w:bCs w:val="0"/>
          <w:color w:val="000000"/>
          <w:sz w:val="28"/>
          <w:szCs w:val="28"/>
          <w:lang w:eastAsia="zh-CN"/>
        </w:rPr>
        <w:t>。</w:t>
      </w:r>
    </w:p>
    <w:p w14:paraId="67A8D3E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4、在</w:t>
      </w:r>
      <w:r>
        <w:rPr>
          <w:rFonts w:hint="eastAsia" w:ascii="仿宋_GB2312" w:hAnsi="仿宋_GB2312" w:eastAsia="仿宋_GB2312" w:cs="仿宋_GB2312"/>
          <w:b w:val="0"/>
          <w:bCs w:val="0"/>
          <w:color w:val="000000"/>
          <w:sz w:val="28"/>
          <w:szCs w:val="28"/>
          <w:lang w:val="en-US" w:eastAsia="zh-CN"/>
        </w:rPr>
        <w:t>绕组</w:t>
      </w:r>
      <w:r>
        <w:rPr>
          <w:rFonts w:hint="eastAsia" w:ascii="仿宋_GB2312" w:hAnsi="仿宋_GB2312" w:eastAsia="仿宋_GB2312" w:cs="仿宋_GB2312"/>
          <w:b w:val="0"/>
          <w:bCs w:val="0"/>
          <w:color w:val="000000"/>
          <w:sz w:val="28"/>
          <w:szCs w:val="28"/>
        </w:rPr>
        <w:t>线圈时，线圈应为铜质线圈，材料满足国家技术标准，</w:t>
      </w:r>
      <w:r>
        <w:rPr>
          <w:rFonts w:hint="eastAsia" w:ascii="仿宋_GB2312" w:hAnsi="仿宋_GB2312" w:eastAsia="仿宋_GB2312" w:cs="仿宋_GB2312"/>
          <w:b w:val="0"/>
          <w:bCs w:val="0"/>
          <w:color w:val="000000"/>
          <w:sz w:val="28"/>
          <w:szCs w:val="28"/>
          <w:lang w:eastAsia="zh-CN"/>
        </w:rPr>
        <w:t>投标人</w:t>
      </w:r>
      <w:r>
        <w:rPr>
          <w:rFonts w:hint="eastAsia" w:ascii="仿宋_GB2312" w:hAnsi="仿宋_GB2312" w:eastAsia="仿宋_GB2312" w:cs="仿宋_GB2312"/>
          <w:b w:val="0"/>
          <w:bCs w:val="0"/>
          <w:color w:val="000000"/>
          <w:sz w:val="28"/>
          <w:szCs w:val="28"/>
        </w:rPr>
        <w:t>对线圈的匝间、相间、对地绝缘试验必须按电机线圈所要求的国家行业标准等级进行试验，以确保线圈下线后的质量要求，不得随意更改原装线圈线径的尺寸，电机所用的材料应属国家正品生产厂出品的合格产品；</w:t>
      </w:r>
      <w:r>
        <w:rPr>
          <w:rFonts w:hint="eastAsia" w:ascii="仿宋_GB2312" w:hAnsi="仿宋_GB2312" w:eastAsia="仿宋_GB2312" w:cs="仿宋_GB2312"/>
          <w:b w:val="0"/>
          <w:bCs w:val="0"/>
          <w:color w:val="000000"/>
          <w:sz w:val="28"/>
          <w:szCs w:val="28"/>
          <w:lang w:val="zh-CN"/>
        </w:rPr>
        <w:t>轴承（</w:t>
      </w:r>
      <w:r>
        <w:rPr>
          <w:rFonts w:hint="eastAsia" w:ascii="仿宋_GB2312" w:hAnsi="仿宋_GB2312" w:eastAsia="仿宋_GB2312" w:cs="仿宋_GB2312"/>
          <w:b w:val="0"/>
          <w:bCs w:val="0"/>
          <w:color w:val="000000"/>
          <w:sz w:val="28"/>
          <w:szCs w:val="28"/>
          <w:lang w:val="en-US" w:eastAsia="zh-CN"/>
        </w:rPr>
        <w:t>滚动轴承</w:t>
      </w:r>
      <w:r>
        <w:rPr>
          <w:rFonts w:hint="eastAsia" w:ascii="仿宋_GB2312" w:hAnsi="仿宋_GB2312" w:eastAsia="仿宋_GB2312" w:cs="仿宋_GB2312"/>
          <w:b w:val="0"/>
          <w:bCs w:val="0"/>
          <w:color w:val="000000"/>
          <w:sz w:val="28"/>
          <w:szCs w:val="28"/>
          <w:lang w:val="zh-CN"/>
        </w:rPr>
        <w:t>）选用斯凯孚品牌轴承，</w:t>
      </w:r>
      <w:r>
        <w:rPr>
          <w:rFonts w:hint="eastAsia" w:ascii="仿宋_GB2312" w:hAnsi="仿宋_GB2312" w:eastAsia="仿宋_GB2312" w:cs="仿宋_GB2312"/>
          <w:b w:val="0"/>
          <w:bCs w:val="0"/>
          <w:color w:val="000000"/>
          <w:sz w:val="28"/>
          <w:szCs w:val="28"/>
          <w:lang w:val="en-US" w:eastAsia="zh-CN"/>
        </w:rPr>
        <w:t>轴瓦（滑动轴承）可选用国产品牌；所用材料备件需提供合格证</w:t>
      </w:r>
      <w:r>
        <w:rPr>
          <w:rFonts w:hint="eastAsia" w:ascii="仿宋_GB2312" w:hAnsi="仿宋_GB2312" w:eastAsia="仿宋_GB2312" w:cs="仿宋_GB2312"/>
          <w:b w:val="0"/>
          <w:bCs w:val="0"/>
          <w:color w:val="000000"/>
          <w:sz w:val="28"/>
          <w:szCs w:val="28"/>
          <w:lang w:val="zh-CN"/>
        </w:rPr>
        <w:t>。</w:t>
      </w:r>
    </w:p>
    <w:p w14:paraId="2B8C2D2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rPr>
        <w:t>6、电机修理后，设备外壳必须清理如新</w:t>
      </w:r>
      <w:r>
        <w:rPr>
          <w:rFonts w:hint="eastAsia" w:ascii="仿宋_GB2312" w:hAnsi="仿宋_GB2312" w:eastAsia="仿宋_GB2312" w:cs="仿宋_GB2312"/>
          <w:b w:val="0"/>
          <w:bCs w:val="0"/>
          <w:color w:val="000000"/>
          <w:sz w:val="28"/>
          <w:szCs w:val="28"/>
          <w:lang w:val="en-US" w:eastAsia="zh-CN"/>
        </w:rPr>
        <w:t>或重新喷漆</w:t>
      </w:r>
      <w:r>
        <w:rPr>
          <w:rFonts w:hint="eastAsia" w:ascii="仿宋_GB2312" w:hAnsi="仿宋_GB2312" w:eastAsia="仿宋_GB2312" w:cs="仿宋_GB2312"/>
          <w:b w:val="0"/>
          <w:bCs w:val="0"/>
          <w:color w:val="000000"/>
          <w:sz w:val="28"/>
          <w:szCs w:val="28"/>
          <w:lang w:eastAsia="zh-CN"/>
        </w:rPr>
        <w:t>。</w:t>
      </w:r>
    </w:p>
    <w:p w14:paraId="7ED9A64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7</w:t>
      </w:r>
      <w:r>
        <w:rPr>
          <w:rFonts w:hint="eastAsia" w:ascii="仿宋_GB2312" w:hAnsi="仿宋_GB2312" w:eastAsia="仿宋_GB2312" w:cs="仿宋_GB2312"/>
          <w:b w:val="0"/>
          <w:bCs w:val="0"/>
          <w:color w:val="000000"/>
          <w:sz w:val="28"/>
          <w:szCs w:val="28"/>
        </w:rPr>
        <w:t>、电机维修后绝缘等级及防护等级应同原铭牌保持一致，经过静态试验测试合格，电机温升符合国家标准，空载电流</w:t>
      </w:r>
      <w:r>
        <w:rPr>
          <w:rFonts w:hint="eastAsia" w:ascii="仿宋_GB2312" w:hAnsi="仿宋_GB2312" w:eastAsia="仿宋_GB2312" w:cs="仿宋_GB2312"/>
          <w:b w:val="0"/>
          <w:bCs w:val="0"/>
          <w:color w:val="000000"/>
          <w:sz w:val="28"/>
          <w:szCs w:val="28"/>
          <w:lang w:val="en-US" w:eastAsia="zh-CN"/>
        </w:rPr>
        <w:t>及振动值</w:t>
      </w:r>
      <w:r>
        <w:rPr>
          <w:rFonts w:hint="eastAsia" w:ascii="仿宋_GB2312" w:hAnsi="仿宋_GB2312" w:eastAsia="仿宋_GB2312" w:cs="仿宋_GB2312"/>
          <w:b w:val="0"/>
          <w:bCs w:val="0"/>
          <w:color w:val="000000"/>
          <w:sz w:val="28"/>
          <w:szCs w:val="28"/>
        </w:rPr>
        <w:t>不大于厂家出厂技术标准</w:t>
      </w:r>
      <w:r>
        <w:rPr>
          <w:rFonts w:hint="eastAsia" w:ascii="仿宋_GB2312" w:hAnsi="仿宋_GB2312" w:eastAsia="仿宋_GB2312" w:cs="仿宋_GB2312"/>
          <w:b w:val="0"/>
          <w:bCs w:val="0"/>
          <w:color w:val="000000"/>
          <w:sz w:val="28"/>
          <w:szCs w:val="28"/>
          <w:lang w:eastAsia="zh-CN"/>
        </w:rPr>
        <w:t>，</w:t>
      </w:r>
      <w:r>
        <w:rPr>
          <w:rFonts w:hint="eastAsia" w:ascii="仿宋_GB2312" w:hAnsi="仿宋_GB2312" w:eastAsia="仿宋_GB2312" w:cs="仿宋_GB2312"/>
          <w:b w:val="0"/>
          <w:bCs w:val="0"/>
          <w:color w:val="000000"/>
          <w:sz w:val="28"/>
          <w:szCs w:val="28"/>
          <w:lang w:val="en-US" w:eastAsia="zh-CN"/>
        </w:rPr>
        <w:t>电机的各项检测/保护功能（温度检测、差动保护等）不得改变。</w:t>
      </w:r>
    </w:p>
    <w:p w14:paraId="2E5A64E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b w:val="0"/>
          <w:bCs w:val="0"/>
          <w:color w:val="000000"/>
          <w:sz w:val="28"/>
          <w:szCs w:val="28"/>
          <w:lang w:eastAsia="zh-CN"/>
        </w:rPr>
      </w:pPr>
      <w:r>
        <w:rPr>
          <w:rFonts w:hint="eastAsia" w:ascii="仿宋_GB2312" w:hAnsi="仿宋_GB2312" w:eastAsia="仿宋_GB2312" w:cs="仿宋_GB2312"/>
          <w:b w:val="0"/>
          <w:bCs w:val="0"/>
          <w:color w:val="000000"/>
          <w:sz w:val="28"/>
          <w:szCs w:val="28"/>
          <w:lang w:val="en-US" w:eastAsia="zh-CN"/>
        </w:rPr>
        <w:t>8、电机维修后交付时需一并提供试验检测报告</w:t>
      </w:r>
      <w:r>
        <w:rPr>
          <w:rFonts w:hint="eastAsia" w:ascii="仿宋_GB2312" w:hAnsi="仿宋_GB2312" w:eastAsia="仿宋_GB2312" w:cs="仿宋_GB2312"/>
          <w:b w:val="0"/>
          <w:bCs w:val="0"/>
          <w:color w:val="000000"/>
          <w:sz w:val="28"/>
          <w:szCs w:val="28"/>
          <w:lang w:eastAsia="zh-CN"/>
        </w:rPr>
        <w:t>。</w:t>
      </w:r>
    </w:p>
    <w:p w14:paraId="459B4154">
      <w:pPr>
        <w:pStyle w:val="59"/>
        <w:spacing w:line="420" w:lineRule="exact"/>
        <w:rPr>
          <w:rFonts w:hint="eastAsia" w:ascii="仿宋_GB2312" w:eastAsia="仿宋_GB2312"/>
          <w:sz w:val="28"/>
          <w:szCs w:val="28"/>
        </w:rPr>
      </w:pPr>
      <w:bookmarkStart w:id="149" w:name="_Toc521503306"/>
      <w:bookmarkStart w:id="150" w:name="_Toc507025406"/>
      <w:r>
        <w:rPr>
          <w:rFonts w:hint="eastAsia" w:ascii="仿宋_GB2312" w:eastAsia="仿宋_GB2312"/>
          <w:sz w:val="28"/>
          <w:szCs w:val="28"/>
          <w:lang w:val="en-US" w:eastAsia="zh-CN"/>
        </w:rPr>
        <w:t>四、</w:t>
      </w:r>
      <w:r>
        <w:rPr>
          <w:rFonts w:hint="eastAsia" w:ascii="仿宋_GB2312" w:eastAsia="仿宋_GB2312"/>
          <w:sz w:val="28"/>
          <w:szCs w:val="28"/>
        </w:rPr>
        <w:t>支付</w:t>
      </w:r>
      <w:bookmarkEnd w:id="149"/>
      <w:bookmarkEnd w:id="150"/>
    </w:p>
    <w:p w14:paraId="2141D2BD">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1</w:t>
      </w:r>
      <w:r>
        <w:rPr>
          <w:rFonts w:hint="eastAsia" w:ascii="仿宋_GB2312" w:eastAsia="仿宋_GB2312" w:cs="仿宋"/>
          <w:sz w:val="28"/>
          <w:szCs w:val="28"/>
          <w:lang w:eastAsia="zh-CN"/>
        </w:rPr>
        <w:t>、</w:t>
      </w:r>
      <w:r>
        <w:rPr>
          <w:rFonts w:hint="eastAsia" w:ascii="仿宋_GB2312" w:eastAsia="仿宋_GB2312" w:cs="仿宋"/>
          <w:sz w:val="28"/>
          <w:szCs w:val="28"/>
        </w:rPr>
        <w:t>甲方以</w:t>
      </w:r>
      <w:r>
        <w:rPr>
          <w:rFonts w:hint="eastAsia" w:ascii="仿宋_GB2312" w:eastAsia="仿宋_GB2312" w:cs="仿宋"/>
          <w:sz w:val="28"/>
          <w:szCs w:val="28"/>
          <w:lang w:val="en-US" w:eastAsia="zh-CN"/>
        </w:rPr>
        <w:t>**</w:t>
      </w:r>
      <w:r>
        <w:rPr>
          <w:rFonts w:hint="eastAsia" w:ascii="仿宋_GB2312" w:eastAsia="仿宋_GB2312" w:cs="仿宋"/>
          <w:sz w:val="28"/>
          <w:szCs w:val="28"/>
        </w:rPr>
        <w:t>方式</w:t>
      </w:r>
      <w:r>
        <w:rPr>
          <w:rFonts w:hint="eastAsia" w:ascii="仿宋_GB2312" w:eastAsia="仿宋_GB2312" w:cs="仿宋"/>
          <w:sz w:val="28"/>
          <w:szCs w:val="28"/>
          <w:lang w:eastAsia="zh-CN"/>
        </w:rPr>
        <w:t>（</w:t>
      </w:r>
      <w:r>
        <w:rPr>
          <w:rFonts w:hint="eastAsia" w:ascii="仿宋_GB2312" w:eastAsia="仿宋_GB2312" w:cs="仿宋"/>
          <w:sz w:val="28"/>
          <w:szCs w:val="28"/>
          <w:lang w:val="en-US" w:eastAsia="zh-CN"/>
        </w:rPr>
        <w:t>以双方约定为准</w:t>
      </w:r>
      <w:r>
        <w:rPr>
          <w:rFonts w:hint="eastAsia" w:ascii="仿宋_GB2312" w:eastAsia="仿宋_GB2312" w:cs="仿宋"/>
          <w:sz w:val="28"/>
          <w:szCs w:val="28"/>
          <w:lang w:eastAsia="zh-CN"/>
        </w:rPr>
        <w:t>）</w:t>
      </w:r>
      <w:r>
        <w:rPr>
          <w:rFonts w:hint="eastAsia" w:ascii="仿宋_GB2312" w:eastAsia="仿宋_GB2312" w:cs="仿宋"/>
          <w:sz w:val="28"/>
          <w:szCs w:val="28"/>
        </w:rPr>
        <w:t>向乙方支付费用。</w:t>
      </w:r>
    </w:p>
    <w:p w14:paraId="74CE2622">
      <w:pPr>
        <w:snapToGrid w:val="0"/>
        <w:spacing w:line="420" w:lineRule="exact"/>
        <w:ind w:firstLine="560" w:firstLineChars="200"/>
        <w:rPr>
          <w:rFonts w:hint="eastAsia" w:ascii="仿宋_GB2312" w:hAnsi="Calibri" w:eastAsia="仿宋_GB2312" w:cs="仿宋"/>
          <w:sz w:val="28"/>
          <w:szCs w:val="28"/>
        </w:rPr>
      </w:pPr>
      <w:r>
        <w:rPr>
          <w:rFonts w:hint="eastAsia" w:ascii="仿宋_GB2312" w:hAnsi="Calibri" w:eastAsia="仿宋_GB2312" w:cs="仿宋"/>
          <w:sz w:val="28"/>
          <w:szCs w:val="28"/>
        </w:rPr>
        <w:t>2</w:t>
      </w:r>
      <w:r>
        <w:rPr>
          <w:rFonts w:hint="eastAsia" w:ascii="仿宋_GB2312" w:hAnsi="Calibri" w:eastAsia="仿宋_GB2312" w:cs="仿宋"/>
          <w:sz w:val="28"/>
          <w:szCs w:val="28"/>
          <w:lang w:eastAsia="zh-CN"/>
        </w:rPr>
        <w:t>、</w:t>
      </w:r>
      <w:r>
        <w:rPr>
          <w:rFonts w:hint="eastAsia" w:ascii="仿宋_GB2312" w:hAnsi="Calibri" w:eastAsia="仿宋_GB2312" w:cs="仿宋"/>
          <w:sz w:val="28"/>
          <w:szCs w:val="28"/>
        </w:rPr>
        <w:t>按照实际工程量</w:t>
      </w:r>
      <w:r>
        <w:rPr>
          <w:rFonts w:hint="eastAsia" w:ascii="仿宋_GB2312" w:hAnsi="Calibri" w:eastAsia="仿宋_GB2312" w:cs="仿宋"/>
          <w:sz w:val="28"/>
          <w:szCs w:val="28"/>
          <w:lang w:val="en-US" w:eastAsia="zh-CN"/>
        </w:rPr>
        <w:t>实时</w:t>
      </w:r>
      <w:r>
        <w:rPr>
          <w:rFonts w:hint="eastAsia" w:ascii="仿宋_GB2312" w:hAnsi="Calibri" w:eastAsia="仿宋_GB2312" w:cs="仿宋"/>
          <w:sz w:val="28"/>
          <w:szCs w:val="28"/>
        </w:rPr>
        <w:t>结算，</w:t>
      </w:r>
      <w:r>
        <w:rPr>
          <w:rFonts w:hint="eastAsia" w:ascii="仿宋_GB2312" w:hAnsi="Calibri" w:eastAsia="仿宋_GB2312" w:cs="仿宋"/>
          <w:sz w:val="28"/>
          <w:szCs w:val="28"/>
          <w:lang w:val="en-US" w:eastAsia="zh-CN"/>
        </w:rPr>
        <w:t>双方验收合格（维修确认单）并且在</w:t>
      </w:r>
      <w:r>
        <w:rPr>
          <w:rFonts w:hint="eastAsia" w:ascii="仿宋_GB2312" w:hAnsi="Calibri" w:eastAsia="仿宋_GB2312" w:cs="仿宋"/>
          <w:sz w:val="28"/>
          <w:szCs w:val="28"/>
        </w:rPr>
        <w:t>甲方收到全额增值税专用发票后</w:t>
      </w:r>
      <w:r>
        <w:rPr>
          <w:rFonts w:hint="eastAsia" w:ascii="仿宋_GB2312" w:hAnsi="Calibri" w:eastAsia="仿宋_GB2312" w:cs="仿宋"/>
          <w:sz w:val="28"/>
          <w:szCs w:val="28"/>
          <w:lang w:val="en-US" w:eastAsia="zh-CN"/>
        </w:rPr>
        <w:t>30</w:t>
      </w:r>
      <w:r>
        <w:rPr>
          <w:rFonts w:hint="eastAsia" w:ascii="仿宋_GB2312" w:hAnsi="Calibri" w:eastAsia="仿宋_GB2312" w:cs="仿宋"/>
          <w:sz w:val="28"/>
          <w:szCs w:val="28"/>
        </w:rPr>
        <w:t>个工作日内支付。</w:t>
      </w:r>
    </w:p>
    <w:p w14:paraId="35CFB7DE">
      <w:pPr>
        <w:snapToGrid w:val="0"/>
        <w:spacing w:line="420" w:lineRule="exact"/>
        <w:ind w:firstLine="560" w:firstLineChars="200"/>
        <w:rPr>
          <w:rFonts w:hint="eastAsia" w:ascii="仿宋_GB2312" w:hAnsi="Calibri" w:eastAsia="仿宋_GB2312" w:cs="仿宋"/>
          <w:sz w:val="28"/>
          <w:szCs w:val="28"/>
        </w:rPr>
      </w:pPr>
      <w:r>
        <w:rPr>
          <w:rFonts w:hint="eastAsia" w:ascii="仿宋_GB2312" w:hAnsi="Calibri" w:eastAsia="仿宋_GB2312" w:cs="仿宋"/>
          <w:sz w:val="28"/>
          <w:szCs w:val="28"/>
          <w:lang w:val="en-US" w:eastAsia="zh-CN"/>
        </w:rPr>
        <w:t>3</w:t>
      </w:r>
      <w:r>
        <w:rPr>
          <w:rFonts w:hint="eastAsia" w:ascii="仿宋_GB2312" w:hAnsi="Calibri" w:eastAsia="仿宋_GB2312" w:cs="仿宋"/>
          <w:sz w:val="28"/>
          <w:szCs w:val="28"/>
          <w:lang w:eastAsia="zh-CN"/>
        </w:rPr>
        <w:t>、</w:t>
      </w:r>
      <w:r>
        <w:rPr>
          <w:rFonts w:hint="eastAsia" w:ascii="仿宋_GB2312" w:hAnsi="Calibri" w:eastAsia="仿宋_GB2312" w:cs="仿宋"/>
          <w:sz w:val="28"/>
          <w:szCs w:val="28"/>
        </w:rPr>
        <w:t>合同有效期内结算上限为</w:t>
      </w:r>
      <w:r>
        <w:rPr>
          <w:rFonts w:hint="eastAsia" w:ascii="仿宋_GB2312" w:hAnsi="Calibri" w:eastAsia="仿宋_GB2312" w:cs="仿宋"/>
          <w:sz w:val="28"/>
          <w:szCs w:val="28"/>
          <w:lang w:val="en-US" w:eastAsia="zh-CN"/>
        </w:rPr>
        <w:t>***</w:t>
      </w:r>
      <w:r>
        <w:rPr>
          <w:rFonts w:hint="eastAsia" w:ascii="仿宋_GB2312" w:hAnsi="Calibri" w:eastAsia="仿宋_GB2312" w:cs="仿宋"/>
          <w:sz w:val="28"/>
          <w:szCs w:val="28"/>
        </w:rPr>
        <w:t>万元，合同到期或结算额达到结算上限后合同终止。</w:t>
      </w:r>
    </w:p>
    <w:p w14:paraId="1F40CB2E">
      <w:pPr>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lang w:val="en-US" w:eastAsia="zh-CN"/>
        </w:rPr>
        <w:t>4</w:t>
      </w:r>
      <w:r>
        <w:rPr>
          <w:rFonts w:hint="eastAsia" w:ascii="仿宋_GB2312" w:eastAsia="仿宋_GB2312" w:cs="仿宋"/>
          <w:sz w:val="28"/>
          <w:szCs w:val="28"/>
          <w:lang w:eastAsia="zh-CN"/>
        </w:rPr>
        <w:t>、</w:t>
      </w:r>
      <w:r>
        <w:rPr>
          <w:rFonts w:hint="eastAsia" w:ascii="仿宋_GB2312" w:eastAsia="仿宋_GB2312" w:cs="仿宋"/>
          <w:sz w:val="28"/>
          <w:szCs w:val="28"/>
        </w:rPr>
        <w:t>关于开具增值税专用发票的要求：</w:t>
      </w:r>
    </w:p>
    <w:p w14:paraId="7C87E949">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1）甲方向乙方支付合同价款前，乙方应向甲方开具增值税专用发票，否则，甲方有权拒绝付款并顺延付款时间。因乙方开具的发票不规范、不合法或涉嫌虚开发票引起税务问题的，乙方需依法向甲方重新开具发票，并向甲方承担赔偿责任。</w:t>
      </w:r>
    </w:p>
    <w:p w14:paraId="497B24D1">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（2）乙方应按照甲方要求，及时向甲方开具可以抵扣税款的增值税专用发票。因乙方开具发票不及时给甲方造成无法及时认证、抵扣发票等情形的，乙方需向甲方承担赔偿责任。</w:t>
      </w:r>
    </w:p>
    <w:p w14:paraId="3CDAC2B4">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3）乙方向甲方开具的增值税专用发票，乙方必须确保发票票面信息全部真实，相关货物、价款等内容与本合同相一致。因发票票面信息有误导致发票不能抵扣税款或者被认定为虚开的，乙方需向甲方承担赔偿责任。</w:t>
      </w:r>
    </w:p>
    <w:p w14:paraId="51E1B325">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（4）乙方收取价外费用的，需依法开具增值税专用发票。</w:t>
      </w:r>
    </w:p>
    <w:p w14:paraId="136D808C">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（5）甲方增值税专用发票信息如下：</w:t>
      </w:r>
    </w:p>
    <w:p w14:paraId="00658B4D">
      <w:pPr>
        <w:snapToGrid w:val="0"/>
        <w:spacing w:line="420" w:lineRule="exact"/>
        <w:ind w:firstLine="480"/>
        <w:rPr>
          <w:rFonts w:hint="eastAsia" w:ascii="仿宋_GB2312" w:eastAsia="仿宋_GB2312" w:cs="仿宋"/>
          <w:sz w:val="28"/>
          <w:szCs w:val="28"/>
        </w:rPr>
      </w:pPr>
      <w:bookmarkStart w:id="151" w:name="_Toc507025407"/>
      <w:r>
        <w:rPr>
          <w:rFonts w:hint="eastAsia" w:ascii="仿宋_GB2312" w:eastAsia="仿宋_GB2312" w:cs="仿宋"/>
          <w:sz w:val="28"/>
          <w:szCs w:val="28"/>
        </w:rPr>
        <w:t>单位名称：山东济钢环保新材料有限公司</w:t>
      </w:r>
    </w:p>
    <w:p w14:paraId="77488DCD">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纳税人识别号：91370181MA3MJQRU4Y</w:t>
      </w:r>
    </w:p>
    <w:p w14:paraId="053ED450">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开户行：中国民生银行济南章丘支行</w:t>
      </w:r>
    </w:p>
    <w:p w14:paraId="2E772BF1">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账号：609055119</w:t>
      </w:r>
    </w:p>
    <w:p w14:paraId="6EAC4C43">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地址： 山东省济南市章丘区官庄街道青野村东</w:t>
      </w:r>
    </w:p>
    <w:p w14:paraId="750BD921">
      <w:pPr>
        <w:snapToGrid w:val="0"/>
        <w:spacing w:line="420" w:lineRule="exact"/>
        <w:ind w:firstLine="480"/>
        <w:rPr>
          <w:rFonts w:hint="eastAsia" w:ascii="仿宋_GB2312" w:eastAsia="仿宋_GB2312" w:cs="仿宋"/>
          <w:sz w:val="28"/>
          <w:szCs w:val="28"/>
        </w:rPr>
      </w:pPr>
      <w:r>
        <w:rPr>
          <w:rFonts w:hint="eastAsia" w:ascii="仿宋_GB2312" w:eastAsia="仿宋_GB2312" w:cs="仿宋"/>
          <w:sz w:val="28"/>
          <w:szCs w:val="28"/>
        </w:rPr>
        <w:t>电话：0531-83790165</w:t>
      </w:r>
    </w:p>
    <w:p w14:paraId="5D7D9D2E">
      <w:pPr>
        <w:pStyle w:val="59"/>
        <w:spacing w:line="420" w:lineRule="exact"/>
        <w:rPr>
          <w:rFonts w:hint="eastAsia" w:ascii="仿宋_GB2312" w:eastAsia="仿宋_GB2312"/>
          <w:sz w:val="28"/>
          <w:szCs w:val="28"/>
        </w:rPr>
      </w:pPr>
      <w:bookmarkStart w:id="152" w:name="_Toc521503317"/>
      <w:r>
        <w:rPr>
          <w:rFonts w:hint="eastAsia" w:ascii="仿宋_GB2312" w:eastAsia="仿宋_GB2312"/>
          <w:sz w:val="28"/>
          <w:szCs w:val="28"/>
          <w:lang w:val="en-US" w:eastAsia="zh-CN"/>
        </w:rPr>
        <w:t>五、</w:t>
      </w:r>
      <w:r>
        <w:rPr>
          <w:rFonts w:hint="eastAsia" w:ascii="仿宋_GB2312" w:eastAsia="仿宋_GB2312"/>
          <w:sz w:val="28"/>
          <w:szCs w:val="28"/>
        </w:rPr>
        <w:t>安全责任</w:t>
      </w:r>
    </w:p>
    <w:p w14:paraId="44119447">
      <w:pPr>
        <w:pStyle w:val="59"/>
        <w:spacing w:line="420" w:lineRule="exact"/>
        <w:ind w:left="120" w:leftChars="50" w:firstLine="560" w:firstLineChars="200"/>
        <w:rPr>
          <w:rFonts w:hint="eastAsia" w:ascii="仿宋_GB2312" w:eastAsia="仿宋_GB2312" w:cs="仿宋"/>
          <w:b w:val="0"/>
          <w:sz w:val="28"/>
          <w:szCs w:val="28"/>
        </w:rPr>
      </w:pPr>
      <w:r>
        <w:rPr>
          <w:rFonts w:hint="eastAsia" w:ascii="仿宋_GB2312" w:eastAsia="仿宋_GB2312" w:cs="仿宋"/>
          <w:b w:val="0"/>
          <w:sz w:val="28"/>
          <w:szCs w:val="28"/>
        </w:rPr>
        <w:t>1</w:t>
      </w:r>
      <w:r>
        <w:rPr>
          <w:rFonts w:hint="eastAsia" w:ascii="仿宋_GB2312" w:eastAsia="仿宋_GB2312" w:cs="仿宋"/>
          <w:b w:val="0"/>
          <w:sz w:val="28"/>
          <w:szCs w:val="28"/>
          <w:lang w:eastAsia="zh-CN"/>
        </w:rPr>
        <w:t>、</w:t>
      </w:r>
      <w:r>
        <w:rPr>
          <w:rFonts w:hint="eastAsia" w:ascii="仿宋_GB2312" w:eastAsia="仿宋_GB2312" w:cs="仿宋"/>
          <w:b w:val="0"/>
          <w:sz w:val="28"/>
          <w:szCs w:val="28"/>
        </w:rPr>
        <w:t>进入甲方施工现场，穿戴好劳动防护用品，听从甲方管理人员的指挥。对于不按规定穿戴劳动防护用品，不听从甲方安全管理人员的指挥，造成的安全事故，由乙方承担全部责任。</w:t>
      </w:r>
    </w:p>
    <w:p w14:paraId="68A2BAFE">
      <w:pPr>
        <w:pStyle w:val="59"/>
        <w:spacing w:line="420" w:lineRule="exact"/>
        <w:ind w:left="120" w:leftChars="50" w:firstLine="560" w:firstLineChars="200"/>
        <w:rPr>
          <w:rFonts w:hint="eastAsia" w:ascii="仿宋_GB2312" w:eastAsia="仿宋_GB2312" w:cs="仿宋"/>
          <w:b w:val="0"/>
          <w:sz w:val="28"/>
          <w:szCs w:val="28"/>
        </w:rPr>
      </w:pPr>
      <w:r>
        <w:rPr>
          <w:rFonts w:hint="eastAsia" w:ascii="仿宋_GB2312" w:eastAsia="仿宋_GB2312" w:cs="仿宋"/>
          <w:b w:val="0"/>
          <w:sz w:val="28"/>
          <w:szCs w:val="28"/>
        </w:rPr>
        <w:t>2</w:t>
      </w:r>
      <w:r>
        <w:rPr>
          <w:rFonts w:hint="eastAsia" w:ascii="仿宋_GB2312" w:eastAsia="仿宋_GB2312" w:cs="仿宋"/>
          <w:b w:val="0"/>
          <w:sz w:val="28"/>
          <w:szCs w:val="28"/>
          <w:lang w:eastAsia="zh-CN"/>
        </w:rPr>
        <w:t>、</w:t>
      </w:r>
      <w:r>
        <w:rPr>
          <w:rFonts w:hint="eastAsia" w:ascii="仿宋_GB2312" w:eastAsia="仿宋_GB2312" w:cs="仿宋"/>
          <w:b w:val="0"/>
          <w:sz w:val="28"/>
          <w:szCs w:val="28"/>
        </w:rPr>
        <w:t>禁止违章作业，由于违章作业造成的安全事故，由乙方承担全部责任。乙方有权拒绝甲方的违章指挥。</w:t>
      </w:r>
    </w:p>
    <w:p w14:paraId="5672DDF8">
      <w:pPr>
        <w:pStyle w:val="59"/>
        <w:spacing w:line="420" w:lineRule="exact"/>
        <w:ind w:left="120" w:leftChars="50" w:firstLine="560" w:firstLineChars="200"/>
        <w:rPr>
          <w:rFonts w:hint="eastAsia" w:ascii="仿宋_GB2312" w:eastAsia="仿宋_GB2312" w:cs="仿宋"/>
          <w:b w:val="0"/>
          <w:sz w:val="28"/>
          <w:szCs w:val="28"/>
        </w:rPr>
      </w:pPr>
      <w:r>
        <w:rPr>
          <w:rFonts w:hint="eastAsia" w:ascii="仿宋_GB2312" w:eastAsia="仿宋_GB2312" w:cs="仿宋"/>
          <w:b w:val="0"/>
          <w:sz w:val="28"/>
          <w:szCs w:val="28"/>
        </w:rPr>
        <w:t>3</w:t>
      </w:r>
      <w:r>
        <w:rPr>
          <w:rFonts w:hint="eastAsia" w:ascii="仿宋_GB2312" w:eastAsia="仿宋_GB2312" w:cs="仿宋"/>
          <w:b w:val="0"/>
          <w:sz w:val="28"/>
          <w:szCs w:val="28"/>
          <w:lang w:eastAsia="zh-CN"/>
        </w:rPr>
        <w:t>、</w:t>
      </w:r>
      <w:r>
        <w:rPr>
          <w:rFonts w:hint="eastAsia" w:ascii="仿宋_GB2312" w:eastAsia="仿宋_GB2312" w:cs="仿宋"/>
          <w:b w:val="0"/>
          <w:sz w:val="28"/>
          <w:szCs w:val="28"/>
        </w:rPr>
        <w:t>乙方要严格按照安全操作规程操作，对违反安全操作规程造成的安全事故，由乙方承担全部责任。</w:t>
      </w:r>
    </w:p>
    <w:p w14:paraId="3A7D0800">
      <w:pPr>
        <w:pStyle w:val="59"/>
        <w:spacing w:line="420" w:lineRule="exact"/>
        <w:ind w:left="120" w:leftChars="50" w:firstLine="560" w:firstLineChars="200"/>
        <w:rPr>
          <w:rFonts w:hint="eastAsia" w:ascii="仿宋_GB2312" w:eastAsia="仿宋_GB2312" w:cs="仿宋"/>
          <w:b w:val="0"/>
          <w:sz w:val="28"/>
          <w:szCs w:val="28"/>
        </w:rPr>
      </w:pPr>
      <w:r>
        <w:rPr>
          <w:rFonts w:hint="eastAsia" w:ascii="仿宋_GB2312" w:eastAsia="仿宋_GB2312" w:cs="仿宋"/>
          <w:b w:val="0"/>
          <w:sz w:val="28"/>
          <w:szCs w:val="28"/>
        </w:rPr>
        <w:t>4</w:t>
      </w:r>
      <w:r>
        <w:rPr>
          <w:rFonts w:hint="eastAsia" w:ascii="仿宋_GB2312" w:eastAsia="仿宋_GB2312" w:cs="仿宋"/>
          <w:b w:val="0"/>
          <w:sz w:val="28"/>
          <w:szCs w:val="28"/>
          <w:lang w:eastAsia="zh-CN"/>
        </w:rPr>
        <w:t>、</w:t>
      </w:r>
      <w:r>
        <w:rPr>
          <w:rFonts w:hint="eastAsia" w:ascii="仿宋_GB2312" w:eastAsia="仿宋_GB2312" w:cs="仿宋"/>
          <w:b w:val="0"/>
          <w:sz w:val="28"/>
          <w:szCs w:val="28"/>
        </w:rPr>
        <w:t>乙方认真做好安全确认和安全技术交底，对安全确认和安全技术交底不到位造成的安全事故，由乙方承担全部责任。</w:t>
      </w:r>
    </w:p>
    <w:p w14:paraId="0538531B">
      <w:pPr>
        <w:pStyle w:val="59"/>
        <w:spacing w:line="420" w:lineRule="exact"/>
        <w:rPr>
          <w:rFonts w:hint="eastAsia" w:ascii="仿宋_GB2312" w:eastAsia="仿宋_GB2312"/>
          <w:sz w:val="28"/>
          <w:szCs w:val="28"/>
        </w:rPr>
      </w:pPr>
      <w:r>
        <w:rPr>
          <w:rFonts w:hint="eastAsia" w:ascii="仿宋_GB2312" w:eastAsia="仿宋_GB2312"/>
          <w:sz w:val="28"/>
          <w:szCs w:val="28"/>
          <w:lang w:val="en-US" w:eastAsia="zh-CN"/>
        </w:rPr>
        <w:t>六、</w:t>
      </w:r>
      <w:r>
        <w:rPr>
          <w:rFonts w:hint="eastAsia" w:ascii="仿宋_GB2312" w:eastAsia="仿宋_GB2312"/>
          <w:sz w:val="28"/>
          <w:szCs w:val="28"/>
        </w:rPr>
        <w:t>违约责任</w:t>
      </w:r>
    </w:p>
    <w:p w14:paraId="74E5A7DD">
      <w:pPr>
        <w:pStyle w:val="59"/>
        <w:spacing w:line="420" w:lineRule="exact"/>
        <w:ind w:left="0" w:firstLine="560" w:firstLineChars="200"/>
        <w:rPr>
          <w:rFonts w:hint="default" w:ascii="仿宋_GB2312" w:eastAsia="仿宋_GB2312" w:cs="仿宋"/>
          <w:b w:val="0"/>
          <w:sz w:val="28"/>
          <w:szCs w:val="28"/>
          <w:lang w:val="en-US" w:eastAsia="zh-CN"/>
        </w:rPr>
      </w:pPr>
      <w:r>
        <w:rPr>
          <w:rFonts w:hint="eastAsia" w:ascii="仿宋_GB2312" w:eastAsia="仿宋_GB2312" w:cs="仿宋"/>
          <w:b w:val="0"/>
          <w:sz w:val="28"/>
          <w:szCs w:val="28"/>
        </w:rPr>
        <w:t>1</w:t>
      </w:r>
      <w:r>
        <w:rPr>
          <w:rFonts w:hint="eastAsia" w:ascii="仿宋_GB2312" w:eastAsia="仿宋_GB2312" w:cs="仿宋"/>
          <w:b w:val="0"/>
          <w:sz w:val="28"/>
          <w:szCs w:val="28"/>
          <w:lang w:val="en-US" w:eastAsia="zh-CN"/>
        </w:rPr>
        <w:t>.</w:t>
      </w:r>
      <w:r>
        <w:rPr>
          <w:rFonts w:hint="eastAsia" w:ascii="仿宋_GB2312" w:eastAsia="仿宋_GB2312" w:cs="仿宋"/>
          <w:b w:val="0"/>
          <w:sz w:val="28"/>
          <w:szCs w:val="28"/>
        </w:rPr>
        <w:t>乙方要按照甲方的时间要求，确保按时到场，按时完成甲方规定的工作任务。对于不按时到场或不按时完成工作任务的行为，视情节轻重给予1000-3000元的</w:t>
      </w:r>
      <w:r>
        <w:rPr>
          <w:rFonts w:hint="eastAsia" w:ascii="仿宋_GB2312" w:eastAsia="仿宋_GB2312" w:cs="仿宋"/>
          <w:b w:val="0"/>
          <w:sz w:val="28"/>
          <w:szCs w:val="28"/>
          <w:lang w:val="en-US" w:eastAsia="zh-CN"/>
        </w:rPr>
        <w:t>考核</w:t>
      </w:r>
      <w:r>
        <w:rPr>
          <w:rFonts w:hint="eastAsia" w:ascii="仿宋_GB2312" w:eastAsia="仿宋_GB2312" w:cs="仿宋"/>
          <w:b w:val="0"/>
          <w:sz w:val="28"/>
          <w:szCs w:val="28"/>
        </w:rPr>
        <w:t>。对于</w:t>
      </w:r>
      <w:r>
        <w:rPr>
          <w:rFonts w:hint="eastAsia" w:ascii="仿宋_GB2312" w:eastAsia="仿宋_GB2312" w:cs="仿宋"/>
          <w:b w:val="0"/>
          <w:sz w:val="28"/>
          <w:szCs w:val="28"/>
          <w:lang w:val="en-US" w:eastAsia="zh-CN"/>
        </w:rPr>
        <w:t>合同期内3次及以上</w:t>
      </w:r>
      <w:r>
        <w:rPr>
          <w:rFonts w:hint="eastAsia" w:ascii="仿宋_GB2312" w:eastAsia="仿宋_GB2312" w:cs="仿宋"/>
          <w:b w:val="0"/>
          <w:sz w:val="28"/>
          <w:szCs w:val="28"/>
        </w:rPr>
        <w:t>不按时到场或不按时完成工作任务的行为，造成严重影响和不良后果的，甲方有权单方面解除合同。</w:t>
      </w:r>
    </w:p>
    <w:p w14:paraId="3BFC54FF">
      <w:pPr>
        <w:pStyle w:val="59"/>
        <w:spacing w:line="420" w:lineRule="exact"/>
        <w:ind w:left="0" w:firstLine="560" w:firstLineChars="200"/>
        <w:rPr>
          <w:rFonts w:hint="eastAsia" w:ascii="仿宋_GB2312" w:eastAsia="仿宋_GB2312" w:cs="仿宋"/>
          <w:b w:val="0"/>
          <w:sz w:val="28"/>
          <w:szCs w:val="28"/>
        </w:rPr>
      </w:pPr>
      <w:r>
        <w:rPr>
          <w:rFonts w:hint="eastAsia" w:ascii="仿宋_GB2312" w:eastAsia="仿宋_GB2312" w:cs="仿宋"/>
          <w:b w:val="0"/>
          <w:sz w:val="28"/>
          <w:szCs w:val="28"/>
        </w:rPr>
        <w:t>2</w:t>
      </w:r>
      <w:r>
        <w:rPr>
          <w:rFonts w:hint="eastAsia" w:ascii="仿宋_GB2312" w:eastAsia="仿宋_GB2312" w:cs="仿宋"/>
          <w:b w:val="0"/>
          <w:sz w:val="28"/>
          <w:szCs w:val="28"/>
          <w:lang w:val="en-US" w:eastAsia="zh-CN"/>
        </w:rPr>
        <w:t>.</w:t>
      </w:r>
      <w:r>
        <w:rPr>
          <w:rFonts w:hint="eastAsia" w:ascii="仿宋_GB2312" w:eastAsia="仿宋_GB2312" w:cs="仿宋"/>
          <w:b w:val="0"/>
          <w:sz w:val="28"/>
          <w:szCs w:val="28"/>
        </w:rPr>
        <w:t>甲方不按时支付费用，按全国银行间同业拆借中心公布的一年期贷款市场报价利率（LPR）计算向乙方支付违约金。</w:t>
      </w:r>
    </w:p>
    <w:p w14:paraId="52732FEE">
      <w:pPr>
        <w:pStyle w:val="59"/>
        <w:spacing w:line="420" w:lineRule="exact"/>
        <w:ind w:left="0" w:firstLine="560" w:firstLineChars="200"/>
        <w:rPr>
          <w:rFonts w:hint="eastAsia" w:ascii="仿宋_GB2312" w:eastAsia="仿宋_GB2312" w:cs="仿宋"/>
          <w:b w:val="0"/>
          <w:sz w:val="28"/>
          <w:szCs w:val="28"/>
          <w:lang w:val="en-US" w:eastAsia="zh-CN"/>
        </w:rPr>
      </w:pPr>
      <w:r>
        <w:rPr>
          <w:rFonts w:hint="eastAsia" w:ascii="仿宋_GB2312" w:eastAsia="仿宋_GB2312" w:cs="仿宋"/>
          <w:b w:val="0"/>
          <w:sz w:val="28"/>
          <w:szCs w:val="28"/>
          <w:lang w:val="en-US" w:eastAsia="zh-CN"/>
        </w:rPr>
        <w:t>3.如因乙方原因提前单方面解除合同或拒不提供服务，乙方须赔偿甲方合同总额10%的违约金。</w:t>
      </w:r>
    </w:p>
    <w:p w14:paraId="7ECE8664">
      <w:pPr>
        <w:pStyle w:val="59"/>
        <w:spacing w:line="420" w:lineRule="exact"/>
        <w:rPr>
          <w:rFonts w:hint="eastAsia" w:ascii="仿宋_GB2312" w:eastAsia="仿宋_GB2312"/>
          <w:sz w:val="28"/>
          <w:szCs w:val="28"/>
        </w:rPr>
      </w:pPr>
      <w:r>
        <w:rPr>
          <w:rFonts w:hint="eastAsia" w:ascii="仿宋_GB2312" w:eastAsia="仿宋_GB2312"/>
          <w:sz w:val="28"/>
          <w:szCs w:val="28"/>
          <w:lang w:val="en-US" w:eastAsia="zh-CN"/>
        </w:rPr>
        <w:t>七、</w:t>
      </w:r>
      <w:r>
        <w:rPr>
          <w:rFonts w:hint="eastAsia" w:ascii="仿宋_GB2312" w:eastAsia="仿宋_GB2312"/>
          <w:sz w:val="28"/>
          <w:szCs w:val="28"/>
        </w:rPr>
        <w:t>争议解决</w:t>
      </w:r>
    </w:p>
    <w:p w14:paraId="06D2808B">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双方约定，在履行本合同过程中发生争议，双方协商解决；协商不成时，依法向甲方所在地人民法院提起诉讼。</w:t>
      </w:r>
    </w:p>
    <w:bookmarkEnd w:id="152"/>
    <w:p w14:paraId="3D12DEC1">
      <w:pPr>
        <w:pStyle w:val="59"/>
        <w:spacing w:line="420" w:lineRule="exact"/>
        <w:rPr>
          <w:rFonts w:hint="eastAsia" w:ascii="仿宋_GB2312" w:eastAsia="仿宋_GB2312"/>
          <w:sz w:val="28"/>
          <w:szCs w:val="28"/>
        </w:rPr>
      </w:pPr>
      <w:bookmarkStart w:id="153" w:name="_Toc521503318"/>
      <w:r>
        <w:rPr>
          <w:rFonts w:hint="eastAsia" w:ascii="仿宋_GB2312" w:eastAsia="仿宋_GB2312"/>
          <w:sz w:val="28"/>
          <w:szCs w:val="28"/>
          <w:lang w:val="en-US" w:eastAsia="zh-CN"/>
        </w:rPr>
        <w:t>八、</w:t>
      </w:r>
      <w:r>
        <w:rPr>
          <w:rFonts w:hint="eastAsia" w:ascii="仿宋_GB2312" w:eastAsia="仿宋_GB2312"/>
          <w:sz w:val="28"/>
          <w:szCs w:val="28"/>
        </w:rPr>
        <w:t>其他约定事项</w:t>
      </w:r>
      <w:bookmarkEnd w:id="153"/>
    </w:p>
    <w:p w14:paraId="7F2537F0">
      <w:pPr>
        <w:snapToGrid w:val="0"/>
        <w:spacing w:line="420" w:lineRule="exact"/>
        <w:ind w:firstLine="560" w:firstLineChars="200"/>
        <w:rPr>
          <w:rFonts w:hint="eastAsia" w:ascii="仿宋_GB2312" w:eastAsia="仿宋_GB2312" w:cs="仿宋"/>
          <w:sz w:val="28"/>
          <w:szCs w:val="28"/>
          <w:u w:val="single"/>
        </w:rPr>
      </w:pPr>
      <w:r>
        <w:rPr>
          <w:rFonts w:hint="eastAsia" w:ascii="仿宋_GB2312" w:eastAsia="仿宋_GB2312" w:cs="仿宋"/>
          <w:sz w:val="28"/>
          <w:szCs w:val="28"/>
        </w:rPr>
        <w:t>1</w:t>
      </w:r>
      <w:r>
        <w:rPr>
          <w:rFonts w:hint="eastAsia" w:ascii="仿宋_GB2312" w:eastAsia="仿宋_GB2312" w:cs="仿宋"/>
          <w:sz w:val="28"/>
          <w:szCs w:val="28"/>
          <w:lang w:val="en-US" w:eastAsia="zh-CN"/>
        </w:rPr>
        <w:t>.</w:t>
      </w:r>
      <w:r>
        <w:rPr>
          <w:rFonts w:hint="eastAsia" w:ascii="仿宋_GB2312" w:eastAsia="仿宋_GB2312" w:cs="仿宋"/>
          <w:sz w:val="28"/>
          <w:szCs w:val="28"/>
        </w:rPr>
        <w:t>特别约定事项：</w:t>
      </w:r>
    </w:p>
    <w:p w14:paraId="68853517">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2</w:t>
      </w:r>
      <w:r>
        <w:rPr>
          <w:rFonts w:hint="eastAsia" w:ascii="仿宋_GB2312" w:eastAsia="仿宋_GB2312" w:cs="仿宋"/>
          <w:sz w:val="28"/>
          <w:szCs w:val="28"/>
          <w:lang w:val="en-US" w:eastAsia="zh-CN"/>
        </w:rPr>
        <w:t>.</w:t>
      </w:r>
      <w:r>
        <w:rPr>
          <w:rFonts w:hint="eastAsia" w:ascii="仿宋_GB2312" w:eastAsia="仿宋_GB2312" w:cs="仿宋"/>
          <w:sz w:val="28"/>
          <w:szCs w:val="28"/>
        </w:rPr>
        <w:t>合同文件包括此合同书和下列文件，是本合同不可分割的一部分：</w:t>
      </w:r>
    </w:p>
    <w:p w14:paraId="608340F8">
      <w:pPr>
        <w:snapToGrid w:val="0"/>
        <w:spacing w:line="420" w:lineRule="exact"/>
        <w:ind w:firstLine="560" w:firstLineChars="200"/>
        <w:rPr>
          <w:rFonts w:hint="eastAsia" w:ascii="仿宋_GB2312" w:eastAsia="仿宋_GB2312" w:cs="仿宋"/>
          <w:sz w:val="28"/>
          <w:szCs w:val="28"/>
          <w:lang w:eastAsia="zh-CN"/>
        </w:rPr>
      </w:pPr>
      <w:r>
        <w:rPr>
          <w:rFonts w:hint="eastAsia" w:ascii="仿宋_GB2312" w:eastAsia="仿宋_GB2312" w:cs="仿宋"/>
          <w:sz w:val="28"/>
          <w:szCs w:val="28"/>
        </w:rPr>
        <w:t>（1）本合同</w:t>
      </w:r>
      <w:r>
        <w:rPr>
          <w:rFonts w:hint="eastAsia" w:ascii="仿宋_GB2312" w:eastAsia="仿宋_GB2312" w:cs="仿宋"/>
          <w:sz w:val="28"/>
          <w:szCs w:val="28"/>
          <w:lang w:eastAsia="zh-CN"/>
        </w:rPr>
        <w:t>；</w:t>
      </w:r>
    </w:p>
    <w:p w14:paraId="5897EED0">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 xml:space="preserve">（2）招标文件； </w:t>
      </w:r>
    </w:p>
    <w:p w14:paraId="1D7EA5C4">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 xml:space="preserve">（3）投标文件； </w:t>
      </w:r>
    </w:p>
    <w:p w14:paraId="71DB41A8">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（4）乙方所有对甲方的承诺函件；</w:t>
      </w:r>
    </w:p>
    <w:p w14:paraId="1765E094">
      <w:pPr>
        <w:snapToGrid w:val="0"/>
        <w:spacing w:line="420" w:lineRule="exact"/>
        <w:ind w:firstLine="700" w:firstLineChars="250"/>
        <w:rPr>
          <w:rFonts w:hint="eastAsia" w:ascii="仿宋_GB2312" w:eastAsia="仿宋_GB2312" w:cs="仿宋"/>
          <w:sz w:val="28"/>
          <w:szCs w:val="28"/>
        </w:rPr>
      </w:pPr>
      <w:r>
        <w:rPr>
          <w:rFonts w:hint="eastAsia" w:ascii="仿宋_GB2312" w:eastAsia="仿宋_GB2312" w:cs="仿宋"/>
          <w:sz w:val="28"/>
          <w:szCs w:val="28"/>
        </w:rPr>
        <w:t>本合同效力高于其它合同文件，如果合同文件中出现分歧，则以本合同文件为准。</w:t>
      </w:r>
    </w:p>
    <w:p w14:paraId="4199D8EF">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rPr>
        <w:t>3</w:t>
      </w:r>
      <w:r>
        <w:rPr>
          <w:rFonts w:hint="eastAsia" w:ascii="仿宋_GB2312" w:eastAsia="仿宋_GB2312" w:cs="仿宋"/>
          <w:sz w:val="28"/>
          <w:szCs w:val="28"/>
          <w:lang w:val="en-US" w:eastAsia="zh-CN"/>
        </w:rPr>
        <w:t>.</w:t>
      </w:r>
      <w:r>
        <w:rPr>
          <w:rFonts w:hint="eastAsia" w:ascii="仿宋_GB2312" w:eastAsia="仿宋_GB2312" w:cs="仿宋"/>
          <w:sz w:val="28"/>
          <w:szCs w:val="28"/>
        </w:rPr>
        <w:t>对本合同的变更只能经双方法定代表人或授权委托人签署补充合同，并加盖本合同统一公章，其他以会议纪要等形式对合同更改的一律无效。</w:t>
      </w:r>
    </w:p>
    <w:p w14:paraId="6C08F1C9">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lang w:val="en-US" w:eastAsia="zh-CN"/>
        </w:rPr>
        <w:t>4.</w:t>
      </w:r>
      <w:r>
        <w:rPr>
          <w:rFonts w:hint="eastAsia" w:ascii="仿宋_GB2312" w:eastAsia="仿宋_GB2312" w:cs="仿宋"/>
          <w:sz w:val="28"/>
          <w:szCs w:val="28"/>
        </w:rPr>
        <w:t>双方往来均以书面形式为准。</w:t>
      </w:r>
    </w:p>
    <w:p w14:paraId="7741BDC1">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lang w:val="en-US" w:eastAsia="zh-CN"/>
        </w:rPr>
        <w:t>5.</w:t>
      </w:r>
      <w:r>
        <w:rPr>
          <w:rFonts w:hint="eastAsia" w:ascii="仿宋_GB2312" w:eastAsia="仿宋_GB2312" w:cs="仿宋"/>
          <w:sz w:val="28"/>
          <w:szCs w:val="28"/>
        </w:rPr>
        <w:t>本合同经双方签字并盖章后生效。</w:t>
      </w:r>
    </w:p>
    <w:p w14:paraId="638838DB">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_GB2312" w:eastAsia="仿宋_GB2312" w:cs="仿宋"/>
          <w:sz w:val="28"/>
          <w:szCs w:val="28"/>
        </w:rPr>
      </w:pPr>
      <w:r>
        <w:rPr>
          <w:rFonts w:hint="eastAsia" w:ascii="仿宋_GB2312" w:eastAsia="仿宋_GB2312" w:cs="仿宋"/>
          <w:sz w:val="28"/>
          <w:szCs w:val="28"/>
          <w:lang w:val="en-US" w:eastAsia="zh-CN"/>
        </w:rPr>
        <w:t>6.</w:t>
      </w:r>
      <w:r>
        <w:rPr>
          <w:rFonts w:hint="eastAsia" w:ascii="仿宋_GB2312" w:eastAsia="仿宋_GB2312" w:cs="仿宋"/>
          <w:sz w:val="28"/>
          <w:szCs w:val="28"/>
        </w:rPr>
        <w:t>签订地点：济南市章丘区</w:t>
      </w:r>
    </w:p>
    <w:p w14:paraId="44FC51FD">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_GB2312" w:eastAsia="仿宋_GB2312" w:cs="仿宋"/>
          <w:sz w:val="28"/>
          <w:szCs w:val="28"/>
        </w:rPr>
      </w:pPr>
      <w:r>
        <w:rPr>
          <w:rFonts w:hint="eastAsia" w:ascii="仿宋_GB2312" w:eastAsia="仿宋_GB2312" w:cs="仿宋"/>
          <w:sz w:val="28"/>
          <w:szCs w:val="28"/>
          <w:lang w:val="en-US" w:eastAsia="zh-CN"/>
        </w:rPr>
        <w:t>7.</w:t>
      </w:r>
      <w:r>
        <w:rPr>
          <w:rFonts w:hint="eastAsia" w:ascii="仿宋_GB2312" w:eastAsia="仿宋_GB2312" w:cs="仿宋"/>
          <w:sz w:val="28"/>
          <w:szCs w:val="28"/>
        </w:rPr>
        <w:t>本合同一式</w:t>
      </w:r>
      <w:r>
        <w:rPr>
          <w:rFonts w:hint="eastAsia" w:ascii="仿宋_GB2312" w:eastAsia="仿宋_GB2312" w:cs="仿宋"/>
          <w:sz w:val="28"/>
          <w:szCs w:val="28"/>
          <w:lang w:val="en-US" w:eastAsia="zh-CN"/>
        </w:rPr>
        <w:t>五</w:t>
      </w:r>
      <w:r>
        <w:rPr>
          <w:rFonts w:hint="eastAsia" w:ascii="仿宋_GB2312" w:eastAsia="仿宋_GB2312" w:cs="仿宋"/>
          <w:sz w:val="28"/>
          <w:szCs w:val="28"/>
        </w:rPr>
        <w:t>份，甲方</w:t>
      </w:r>
      <w:r>
        <w:rPr>
          <w:rFonts w:hint="eastAsia" w:ascii="仿宋_GB2312" w:eastAsia="仿宋_GB2312" w:cs="仿宋"/>
          <w:sz w:val="28"/>
          <w:szCs w:val="28"/>
          <w:lang w:val="en-US" w:eastAsia="zh-CN"/>
        </w:rPr>
        <w:t>三</w:t>
      </w:r>
      <w:r>
        <w:rPr>
          <w:rFonts w:hint="eastAsia" w:ascii="仿宋_GB2312" w:eastAsia="仿宋_GB2312" w:cs="仿宋"/>
          <w:sz w:val="28"/>
          <w:szCs w:val="28"/>
        </w:rPr>
        <w:t>份，乙方两份，均具同等法律效力。</w:t>
      </w:r>
    </w:p>
    <w:bookmarkEnd w:id="151"/>
    <w:p w14:paraId="183B0938">
      <w:pPr>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cs="仿宋"/>
          <w:sz w:val="28"/>
          <w:szCs w:val="28"/>
          <w:lang w:val="en-US" w:eastAsia="zh-CN"/>
        </w:rPr>
      </w:pPr>
    </w:p>
    <w:p w14:paraId="43052A49">
      <w:pPr>
        <w:pageBreakBefore w:val="0"/>
        <w:widowControl w:val="0"/>
        <w:kinsoku/>
        <w:wordWrap/>
        <w:overflowPunct/>
        <w:topLinePunct w:val="0"/>
        <w:autoSpaceDE/>
        <w:autoSpaceDN/>
        <w:bidi w:val="0"/>
        <w:adjustRightInd/>
        <w:snapToGrid w:val="0"/>
        <w:spacing w:line="240" w:lineRule="auto"/>
        <w:textAlignment w:val="auto"/>
        <w:rPr>
          <w:rFonts w:hint="default" w:eastAsia="宋体"/>
          <w:lang w:val="en-US" w:eastAsia="zh-CN"/>
        </w:rPr>
      </w:pPr>
      <w:r>
        <w:rPr>
          <w:rFonts w:hint="eastAsia" w:ascii="仿宋_GB2312" w:eastAsia="仿宋_GB2312" w:cs="仿宋"/>
          <w:sz w:val="28"/>
          <w:szCs w:val="28"/>
          <w:lang w:val="en-US" w:eastAsia="zh-CN"/>
        </w:rPr>
        <w:t>合同</w:t>
      </w:r>
      <w:r>
        <w:rPr>
          <w:rFonts w:hint="eastAsia" w:ascii="仿宋_GB2312" w:eastAsia="仿宋_GB2312" w:cs="仿宋"/>
          <w:sz w:val="28"/>
          <w:szCs w:val="28"/>
        </w:rPr>
        <w:t>附件：廉洁协议书</w:t>
      </w:r>
    </w:p>
    <w:p w14:paraId="5780CEB7">
      <w:pPr>
        <w:snapToGrid w:val="0"/>
        <w:spacing w:line="360" w:lineRule="auto"/>
        <w:ind w:firstLine="560" w:firstLineChars="200"/>
        <w:rPr>
          <w:rFonts w:hint="eastAsia" w:ascii="仿宋_GB2312" w:eastAsia="仿宋_GB2312" w:cs="仿宋"/>
          <w:sz w:val="28"/>
          <w:szCs w:val="28"/>
        </w:rPr>
      </w:pPr>
    </w:p>
    <w:p w14:paraId="71B4E509">
      <w:pPr>
        <w:snapToGrid w:val="0"/>
        <w:spacing w:line="360" w:lineRule="auto"/>
        <w:ind w:firstLine="480" w:firstLineChars="200"/>
        <w:jc w:val="center"/>
        <w:rPr>
          <w:rFonts w:hint="eastAsia" w:ascii="仿宋_GB2312" w:eastAsia="仿宋_GB2312" w:cs="仿宋"/>
          <w:sz w:val="24"/>
        </w:rPr>
      </w:pPr>
    </w:p>
    <w:tbl>
      <w:tblPr>
        <w:tblStyle w:val="46"/>
        <w:tblW w:w="9875" w:type="dxa"/>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0" w:type="dxa"/>
          <w:bottom w:w="0" w:type="dxa"/>
          <w:right w:w="0" w:type="dxa"/>
        </w:tblCellMar>
      </w:tblPr>
      <w:tblGrid>
        <w:gridCol w:w="5399"/>
        <w:gridCol w:w="4476"/>
      </w:tblGrid>
      <w:tr w14:paraId="4CF2388F">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1153" w:hRule="atLeast"/>
          <w:jc w:val="center"/>
        </w:trPr>
        <w:tc>
          <w:tcPr>
            <w:tcW w:w="5399" w:type="dxa"/>
            <w:noWrap w:val="0"/>
            <w:vAlign w:val="center"/>
          </w:tcPr>
          <w:p w14:paraId="64E00D15">
            <w:pPr>
              <w:spacing w:line="360" w:lineRule="auto"/>
              <w:ind w:right="348" w:rightChars="145"/>
              <w:rPr>
                <w:rFonts w:hint="eastAsia" w:ascii="仿宋_GB2312" w:eastAsia="仿宋_GB2312" w:cs="仿宋"/>
                <w:sz w:val="24"/>
              </w:rPr>
            </w:pPr>
            <w:r>
              <w:rPr>
                <w:rFonts w:hint="eastAsia" w:ascii="仿宋_GB2312" w:eastAsia="仿宋_GB2312" w:cs="仿宋"/>
                <w:sz w:val="24"/>
              </w:rPr>
              <w:t xml:space="preserve">甲方（盖章）：山东济钢环保新材料有限公司 </w:t>
            </w:r>
          </w:p>
        </w:tc>
        <w:tc>
          <w:tcPr>
            <w:tcW w:w="4476" w:type="dxa"/>
            <w:noWrap w:val="0"/>
            <w:vAlign w:val="center"/>
          </w:tcPr>
          <w:p w14:paraId="362D3CF5">
            <w:pPr>
              <w:keepLines/>
              <w:tabs>
                <w:tab w:val="left" w:pos="180"/>
                <w:tab w:val="left" w:pos="4320"/>
                <w:tab w:val="left" w:pos="5040"/>
                <w:tab w:val="right" w:pos="8640"/>
              </w:tabs>
              <w:spacing w:before="156" w:beforeLines="50" w:after="156" w:afterLines="50"/>
              <w:ind w:left="1605" w:hanging="1605" w:hangingChars="698"/>
              <w:rPr>
                <w:rFonts w:hint="eastAsia" w:ascii="仿宋_GB2312" w:eastAsia="仿宋_GB2312" w:cs="仿宋"/>
                <w:b/>
                <w:spacing w:val="-5"/>
                <w:sz w:val="24"/>
                <w:lang w:bidi="he-IL"/>
              </w:rPr>
            </w:pPr>
            <w:r>
              <w:rPr>
                <w:rFonts w:hint="eastAsia" w:ascii="仿宋_GB2312" w:eastAsia="仿宋_GB2312" w:cs="仿宋"/>
                <w:spacing w:val="-5"/>
                <w:sz w:val="24"/>
                <w:lang w:bidi="he-IL"/>
              </w:rPr>
              <w:t>乙方（盖章）：</w:t>
            </w:r>
            <w:r>
              <w:rPr>
                <w:rFonts w:hint="eastAsia" w:ascii="仿宋_GB2312" w:eastAsia="仿宋_GB2312" w:cs="仿宋"/>
                <w:b/>
                <w:spacing w:val="-5"/>
                <w:sz w:val="24"/>
                <w:lang w:bidi="he-IL"/>
              </w:rPr>
              <w:t xml:space="preserve"> </w:t>
            </w:r>
          </w:p>
        </w:tc>
      </w:tr>
      <w:tr w14:paraId="5D56B956">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922" w:hRule="atLeast"/>
          <w:jc w:val="center"/>
        </w:trPr>
        <w:tc>
          <w:tcPr>
            <w:tcW w:w="5399" w:type="dxa"/>
            <w:noWrap w:val="0"/>
            <w:vAlign w:val="center"/>
          </w:tcPr>
          <w:p w14:paraId="1B901C8D">
            <w:pPr>
              <w:spacing w:line="360" w:lineRule="auto"/>
              <w:ind w:right="348" w:rightChars="145"/>
              <w:rPr>
                <w:rFonts w:hint="eastAsia" w:ascii="仿宋_GB2312" w:eastAsia="仿宋_GB2312" w:cs="仿宋"/>
                <w:sz w:val="24"/>
              </w:rPr>
            </w:pPr>
            <w:r>
              <w:rPr>
                <w:rFonts w:hint="eastAsia" w:ascii="仿宋_GB2312" w:eastAsia="仿宋_GB2312" w:cs="仿宋"/>
                <w:sz w:val="24"/>
              </w:rPr>
              <w:t xml:space="preserve">委托代理人（签字）： </w:t>
            </w:r>
          </w:p>
        </w:tc>
        <w:tc>
          <w:tcPr>
            <w:tcW w:w="4476" w:type="dxa"/>
            <w:noWrap w:val="0"/>
            <w:vAlign w:val="center"/>
          </w:tcPr>
          <w:p w14:paraId="6EABB704">
            <w:pPr>
              <w:spacing w:line="360" w:lineRule="auto"/>
              <w:ind w:right="348" w:rightChars="145"/>
              <w:rPr>
                <w:rFonts w:hint="eastAsia" w:ascii="仿宋_GB2312" w:eastAsia="仿宋_GB2312" w:cs="仿宋"/>
                <w:sz w:val="24"/>
              </w:rPr>
            </w:pPr>
            <w:r>
              <w:rPr>
                <w:rFonts w:hint="eastAsia" w:ascii="仿宋_GB2312" w:eastAsia="仿宋_GB2312" w:cs="仿宋"/>
                <w:sz w:val="24"/>
              </w:rPr>
              <w:t>委托代理人（签字）：</w:t>
            </w:r>
          </w:p>
        </w:tc>
      </w:tr>
      <w:tr w14:paraId="30A506C6">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5AD8D159">
            <w:pPr>
              <w:spacing w:line="360" w:lineRule="auto"/>
              <w:ind w:right="348" w:rightChars="145"/>
              <w:rPr>
                <w:rFonts w:hint="eastAsia" w:ascii="仿宋_GB2312" w:eastAsia="仿宋_GB2312" w:cs="仿宋"/>
                <w:sz w:val="24"/>
              </w:rPr>
            </w:pPr>
            <w:r>
              <w:rPr>
                <w:rFonts w:hint="eastAsia" w:ascii="仿宋_GB2312" w:eastAsia="仿宋_GB2312" w:cs="仿宋"/>
                <w:sz w:val="24"/>
              </w:rPr>
              <w:t>开户行: 中国民生银行济南章丘支行</w:t>
            </w:r>
          </w:p>
        </w:tc>
        <w:tc>
          <w:tcPr>
            <w:tcW w:w="4476" w:type="dxa"/>
            <w:noWrap w:val="0"/>
            <w:vAlign w:val="center"/>
          </w:tcPr>
          <w:p w14:paraId="1B2B4334">
            <w:pPr>
              <w:keepLines/>
              <w:tabs>
                <w:tab w:val="left" w:pos="720"/>
                <w:tab w:val="left" w:pos="3780"/>
                <w:tab w:val="left" w:pos="4500"/>
                <w:tab w:val="right" w:pos="8640"/>
              </w:tabs>
              <w:spacing w:line="360" w:lineRule="auto"/>
              <w:rPr>
                <w:rFonts w:hint="eastAsia" w:ascii="仿宋_GB2312" w:eastAsia="仿宋_GB2312" w:cs="仿宋"/>
                <w:spacing w:val="-5"/>
                <w:sz w:val="24"/>
                <w:lang w:bidi="he-IL"/>
              </w:rPr>
            </w:pPr>
            <w:r>
              <w:rPr>
                <w:rFonts w:hint="eastAsia" w:ascii="仿宋_GB2312" w:eastAsia="仿宋_GB2312" w:cs="仿宋"/>
                <w:spacing w:val="-5"/>
                <w:sz w:val="24"/>
                <w:lang w:bidi="he-IL"/>
              </w:rPr>
              <w:t>开户行:</w:t>
            </w:r>
            <w:r>
              <w:rPr>
                <w:rFonts w:hint="eastAsia" w:ascii="仿宋_GB2312" w:eastAsia="仿宋_GB2312"/>
                <w:sz w:val="24"/>
              </w:rPr>
              <w:t xml:space="preserve"> </w:t>
            </w:r>
          </w:p>
        </w:tc>
      </w:tr>
      <w:tr w14:paraId="69AF7E4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59414845">
            <w:pPr>
              <w:spacing w:line="360" w:lineRule="auto"/>
              <w:ind w:right="348" w:rightChars="145"/>
              <w:rPr>
                <w:rFonts w:hint="eastAsia" w:ascii="仿宋_GB2312" w:eastAsia="仿宋_GB2312" w:cs="仿宋"/>
                <w:sz w:val="24"/>
              </w:rPr>
            </w:pPr>
            <w:r>
              <w:rPr>
                <w:rFonts w:hint="eastAsia" w:ascii="仿宋_GB2312" w:eastAsia="仿宋_GB2312" w:cs="仿宋"/>
                <w:sz w:val="24"/>
              </w:rPr>
              <w:t>账号：609055119</w:t>
            </w:r>
          </w:p>
        </w:tc>
        <w:tc>
          <w:tcPr>
            <w:tcW w:w="4476" w:type="dxa"/>
            <w:noWrap w:val="0"/>
            <w:vAlign w:val="center"/>
          </w:tcPr>
          <w:p w14:paraId="41820651">
            <w:pPr>
              <w:spacing w:line="240" w:lineRule="exact"/>
              <w:rPr>
                <w:rFonts w:hint="eastAsia" w:ascii="仿宋_GB2312" w:eastAsia="仿宋_GB2312" w:cs="仿宋"/>
                <w:spacing w:val="-5"/>
                <w:sz w:val="24"/>
                <w:lang w:bidi="he-IL"/>
              </w:rPr>
            </w:pPr>
            <w:r>
              <w:rPr>
                <w:rFonts w:hint="eastAsia" w:ascii="仿宋_GB2312" w:eastAsia="仿宋_GB2312" w:cs="仿宋"/>
                <w:sz w:val="24"/>
              </w:rPr>
              <w:t>账号</w:t>
            </w:r>
            <w:r>
              <w:rPr>
                <w:rFonts w:hint="eastAsia" w:ascii="仿宋_GB2312" w:eastAsia="仿宋_GB2312" w:cs="仿宋"/>
                <w:spacing w:val="-5"/>
                <w:sz w:val="24"/>
                <w:lang w:bidi="he-IL"/>
              </w:rPr>
              <w:t>：</w:t>
            </w:r>
          </w:p>
        </w:tc>
      </w:tr>
      <w:tr w14:paraId="69D584D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3023BC2E">
            <w:pPr>
              <w:keepLines/>
              <w:tabs>
                <w:tab w:val="left" w:pos="720"/>
                <w:tab w:val="left" w:pos="4320"/>
                <w:tab w:val="left" w:pos="5040"/>
                <w:tab w:val="right" w:pos="8640"/>
              </w:tabs>
              <w:spacing w:line="360" w:lineRule="auto"/>
              <w:rPr>
                <w:rFonts w:hint="eastAsia" w:ascii="仿宋_GB2312" w:eastAsia="仿宋_GB2312" w:cs="仿宋"/>
                <w:spacing w:val="-5"/>
                <w:sz w:val="24"/>
                <w:lang w:bidi="he-IL"/>
              </w:rPr>
            </w:pPr>
            <w:r>
              <w:rPr>
                <w:rFonts w:hint="eastAsia" w:ascii="仿宋_GB2312" w:eastAsia="仿宋_GB2312" w:cs="仿宋"/>
                <w:spacing w:val="-5"/>
                <w:sz w:val="24"/>
                <w:lang w:bidi="he-IL"/>
              </w:rPr>
              <w:t>税务登记证号：</w:t>
            </w:r>
            <w:r>
              <w:rPr>
                <w:rFonts w:hint="eastAsia" w:ascii="仿宋_GB2312" w:eastAsia="仿宋_GB2312" w:cs="仿宋"/>
                <w:sz w:val="24"/>
              </w:rPr>
              <w:t>91370181MA3MJQRU4Y</w:t>
            </w:r>
          </w:p>
        </w:tc>
        <w:tc>
          <w:tcPr>
            <w:tcW w:w="4476" w:type="dxa"/>
            <w:noWrap w:val="0"/>
            <w:vAlign w:val="center"/>
          </w:tcPr>
          <w:p w14:paraId="0FA51808">
            <w:pPr>
              <w:keepLines/>
              <w:tabs>
                <w:tab w:val="left" w:pos="720"/>
                <w:tab w:val="left" w:pos="4320"/>
                <w:tab w:val="left" w:pos="5040"/>
                <w:tab w:val="right" w:pos="8640"/>
              </w:tabs>
              <w:spacing w:line="360" w:lineRule="auto"/>
              <w:rPr>
                <w:rFonts w:hint="eastAsia" w:ascii="仿宋_GB2312" w:eastAsia="仿宋_GB2312" w:cs="仿宋"/>
                <w:spacing w:val="-5"/>
                <w:sz w:val="24"/>
                <w:lang w:bidi="he-IL"/>
              </w:rPr>
            </w:pPr>
            <w:r>
              <w:rPr>
                <w:rFonts w:hint="eastAsia" w:ascii="仿宋_GB2312" w:eastAsia="仿宋_GB2312" w:cs="仿宋"/>
                <w:spacing w:val="-5"/>
                <w:sz w:val="24"/>
                <w:lang w:bidi="he-IL"/>
              </w:rPr>
              <w:t>税务登记证号：</w:t>
            </w:r>
          </w:p>
        </w:tc>
      </w:tr>
      <w:tr w14:paraId="7E0617B5">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0069A65C">
            <w:pPr>
              <w:keepLines/>
              <w:tabs>
                <w:tab w:val="left" w:pos="720"/>
                <w:tab w:val="left" w:pos="4320"/>
                <w:tab w:val="left" w:pos="5040"/>
                <w:tab w:val="right" w:pos="8640"/>
              </w:tabs>
              <w:spacing w:line="360" w:lineRule="auto"/>
              <w:rPr>
                <w:rFonts w:hint="eastAsia" w:ascii="仿宋_GB2312" w:eastAsia="仿宋_GB2312" w:cs="仿宋"/>
                <w:b/>
                <w:spacing w:val="-10"/>
                <w:sz w:val="24"/>
                <w:lang w:bidi="he-IL"/>
              </w:rPr>
            </w:pPr>
            <w:r>
              <w:rPr>
                <w:rFonts w:hint="eastAsia" w:ascii="仿宋_GB2312" w:eastAsia="仿宋_GB2312" w:cs="仿宋"/>
                <w:spacing w:val="-5"/>
                <w:sz w:val="24"/>
                <w:lang w:bidi="he-IL"/>
              </w:rPr>
              <w:t>地址：</w:t>
            </w:r>
            <w:r>
              <w:rPr>
                <w:rFonts w:hint="eastAsia" w:ascii="仿宋_GB2312" w:eastAsia="仿宋_GB2312" w:cs="仿宋"/>
                <w:sz w:val="24"/>
              </w:rPr>
              <w:t>山东省济南市章丘区官庄街道青野村东</w:t>
            </w:r>
          </w:p>
        </w:tc>
        <w:tc>
          <w:tcPr>
            <w:tcW w:w="4476" w:type="dxa"/>
            <w:noWrap w:val="0"/>
            <w:vAlign w:val="top"/>
          </w:tcPr>
          <w:p w14:paraId="55A8530A">
            <w:pPr>
              <w:keepLines/>
              <w:tabs>
                <w:tab w:val="left" w:pos="720"/>
                <w:tab w:val="left" w:pos="4320"/>
                <w:tab w:val="left" w:pos="5040"/>
                <w:tab w:val="right" w:pos="8640"/>
              </w:tabs>
              <w:spacing w:line="360" w:lineRule="auto"/>
              <w:rPr>
                <w:rFonts w:hint="eastAsia" w:ascii="仿宋_GB2312" w:eastAsia="仿宋_GB2312" w:cs="仿宋"/>
                <w:b/>
                <w:spacing w:val="-10"/>
                <w:sz w:val="24"/>
                <w:lang w:bidi="he-IL"/>
              </w:rPr>
            </w:pPr>
            <w:r>
              <w:rPr>
                <w:rFonts w:hint="eastAsia" w:ascii="仿宋_GB2312" w:eastAsia="仿宋_GB2312" w:cs="仿宋"/>
                <w:spacing w:val="-5"/>
                <w:sz w:val="24"/>
                <w:lang w:bidi="he-IL"/>
              </w:rPr>
              <w:t>地址：</w:t>
            </w:r>
            <w:r>
              <w:rPr>
                <w:rFonts w:hint="eastAsia" w:ascii="仿宋_GB2312" w:eastAsia="仿宋_GB2312" w:cs="仿宋"/>
                <w:b/>
                <w:spacing w:val="-10"/>
                <w:sz w:val="24"/>
                <w:lang w:bidi="he-IL"/>
              </w:rPr>
              <w:t xml:space="preserve"> </w:t>
            </w:r>
          </w:p>
        </w:tc>
      </w:tr>
      <w:tr w14:paraId="49F287C7">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9875" w:type="dxa"/>
            <w:gridSpan w:val="2"/>
            <w:noWrap w:val="0"/>
            <w:vAlign w:val="center"/>
          </w:tcPr>
          <w:p w14:paraId="69AB9C29">
            <w:pPr>
              <w:keepLines/>
              <w:tabs>
                <w:tab w:val="left" w:pos="720"/>
                <w:tab w:val="left" w:pos="4320"/>
                <w:tab w:val="left" w:pos="5040"/>
                <w:tab w:val="right" w:pos="8640"/>
              </w:tabs>
              <w:spacing w:line="360" w:lineRule="auto"/>
              <w:jc w:val="center"/>
              <w:rPr>
                <w:rFonts w:hint="eastAsia" w:ascii="仿宋_GB2312" w:eastAsia="仿宋_GB2312" w:cs="仿宋"/>
                <w:spacing w:val="-5"/>
                <w:sz w:val="24"/>
                <w:lang w:bidi="he-IL"/>
              </w:rPr>
            </w:pPr>
            <w:r>
              <w:rPr>
                <w:rFonts w:hint="eastAsia" w:ascii="仿宋_GB2312" w:eastAsia="仿宋_GB2312" w:cs="仿宋"/>
                <w:spacing w:val="-5"/>
                <w:sz w:val="24"/>
                <w:lang w:bidi="he-IL"/>
              </w:rPr>
              <w:t xml:space="preserve">                                签订日期：   年   月   日</w:t>
            </w:r>
          </w:p>
        </w:tc>
      </w:tr>
    </w:tbl>
    <w:p w14:paraId="4468F2C6">
      <w:pPr>
        <w:pStyle w:val="59"/>
        <w:ind w:left="0" w:firstLine="482" w:firstLineChars="200"/>
        <w:jc w:val="left"/>
        <w:rPr>
          <w:szCs w:val="22"/>
        </w:rPr>
      </w:pPr>
      <w:r>
        <w:rPr>
          <w:rFonts w:hint="eastAsia" w:cs="仿宋"/>
          <w:szCs w:val="20"/>
        </w:rPr>
        <w:t>注：</w:t>
      </w:r>
      <w:r>
        <w:rPr>
          <w:rFonts w:hint="eastAsia"/>
          <w:szCs w:val="22"/>
        </w:rPr>
        <w:t>招标文件中的合同条款为主要条款，双方的权利义务以未来签订的商务合同为准。未来签订的商务合同的条款存在与本招标文件不一致的地方，但不会对实质性内容进行改变。</w:t>
      </w:r>
    </w:p>
    <w:bookmarkEnd w:id="144"/>
    <w:p w14:paraId="27792915">
      <w:pPr>
        <w:pStyle w:val="59"/>
        <w:rPr>
          <w:rFonts w:hint="eastAsia"/>
        </w:rPr>
      </w:pPr>
      <w:bookmarkStart w:id="154" w:name="_Toc508871751"/>
    </w:p>
    <w:p w14:paraId="49918A34">
      <w:pPr>
        <w:pStyle w:val="59"/>
        <w:rPr>
          <w:rFonts w:hint="eastAsia"/>
        </w:rPr>
      </w:pPr>
    </w:p>
    <w:p w14:paraId="65AC86C0">
      <w:pPr>
        <w:pStyle w:val="59"/>
        <w:rPr>
          <w:rFonts w:hint="eastAsia"/>
        </w:rPr>
      </w:pPr>
    </w:p>
    <w:p w14:paraId="0C465B3A">
      <w:pPr>
        <w:pStyle w:val="59"/>
        <w:rPr>
          <w:rFonts w:hint="eastAsia"/>
        </w:rPr>
      </w:pPr>
    </w:p>
    <w:bookmarkEnd w:id="154"/>
    <w:p w14:paraId="398DC3F2">
      <w:pPr>
        <w:snapToGrid w:val="0"/>
        <w:spacing w:line="420" w:lineRule="exact"/>
        <w:ind w:firstLine="506" w:firstLineChars="181"/>
        <w:jc w:val="left"/>
        <w:rPr>
          <w:rFonts w:hint="eastAsia" w:ascii="仿宋_GB2312" w:eastAsia="仿宋_GB2312" w:cs="仿宋"/>
          <w:sz w:val="28"/>
          <w:szCs w:val="28"/>
        </w:rPr>
      </w:pPr>
      <w:r>
        <w:rPr>
          <w:rFonts w:hint="eastAsia" w:ascii="仿宋_GB2312" w:eastAsia="仿宋_GB2312" w:cs="仿宋"/>
          <w:sz w:val="28"/>
          <w:szCs w:val="28"/>
        </w:rPr>
        <w:t xml:space="preserve">附件               </w:t>
      </w:r>
    </w:p>
    <w:p w14:paraId="48C43850">
      <w:pPr>
        <w:keepNext w:val="0"/>
        <w:pageBreakBefore w:val="0"/>
        <w:kinsoku/>
        <w:overflowPunct/>
        <w:topLinePunct w:val="0"/>
        <w:bidi w:val="0"/>
        <w:spacing w:line="240" w:lineRule="exact"/>
        <w:jc w:val="center"/>
        <w:textAlignment w:val="auto"/>
        <w:rPr>
          <w:rFonts w:hint="eastAsia" w:ascii="黑体" w:hAnsi="宋体" w:eastAsia="黑体" w:cs="Times New Roman"/>
          <w:b/>
          <w:bCs/>
          <w:kern w:val="0"/>
          <w:sz w:val="24"/>
          <w:szCs w:val="24"/>
          <w:lang w:val="en-US" w:eastAsia="zh-CN" w:bidi="ar-SA"/>
        </w:rPr>
      </w:pPr>
      <w:r>
        <w:rPr>
          <w:rFonts w:hint="eastAsia" w:ascii="黑体" w:hAnsi="宋体" w:eastAsia="黑体" w:cs="Times New Roman"/>
          <w:b/>
          <w:bCs/>
          <w:kern w:val="0"/>
          <w:sz w:val="24"/>
          <w:szCs w:val="24"/>
          <w:lang w:val="en-US" w:eastAsia="zh-CN" w:bidi="ar-SA"/>
        </w:rPr>
        <w:t>廉洁协议书</w:t>
      </w:r>
    </w:p>
    <w:p w14:paraId="64A3A962">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为规范甲乙双方在业务交往活动中的行为，严防在业务活动中发生违规违纪违法行为，经双方协商，达成廉洁协议如下：</w:t>
      </w:r>
    </w:p>
    <w:p w14:paraId="3B58CE31">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第一条 甲乙双方共同责任</w:t>
      </w:r>
    </w:p>
    <w:p w14:paraId="28ED7C38">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1、严格遵守国家的法律法规及廉政建设有关规定。</w:t>
      </w:r>
    </w:p>
    <w:p w14:paraId="744F0FEE">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2、共同营造廉洁、诚信、公平、公正的业务交往环境。</w:t>
      </w:r>
    </w:p>
    <w:p w14:paraId="62530C63">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3、加强对有关人员的管理和教育，自觉抵制不廉洁行为。</w:t>
      </w:r>
    </w:p>
    <w:p w14:paraId="64667FB9">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4、发现对方及及其人员在业务活动中有违反廉政规定的行为，有及时要求对方纠正，并向纪检监察机关或司法机关举报的权利和义务。</w:t>
      </w:r>
    </w:p>
    <w:p w14:paraId="4B848F05">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第二条 甲方及其人员的责任</w:t>
      </w:r>
    </w:p>
    <w:p w14:paraId="6784A268">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1、禁止索要或接受乙方及其相关单位和人员提供的回扣、礼金、有价证劵、支付凭证、贵重物品等。</w:t>
      </w:r>
    </w:p>
    <w:p w14:paraId="4F09AEF6">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2、禁止在乙方及其相关单位报销任何应由甲方或个人支付的费用。</w:t>
      </w:r>
    </w:p>
    <w:p w14:paraId="35C99646">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3、禁止在乙方及其相关单位投资入股，禁止向乙方单位及人员借款或委托买卖股票、债券等。</w:t>
      </w:r>
    </w:p>
    <w:p w14:paraId="6F08A191">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4、禁止暗示、要求和接受乙方及其相关单位为其购买或装修住房，为婚丧嫁娶、配偶和子女的工作安排或上学等提供方便。</w:t>
      </w:r>
    </w:p>
    <w:p w14:paraId="46FA64BB">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5、禁止接受乙方及其相关单位安排的宴请以及旅游、健身等娱乐活动。</w:t>
      </w:r>
    </w:p>
    <w:p w14:paraId="335C9CDF">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6、禁止接受乙方及其相关单位购置或提供的通讯工具、交通工具和高档办公用品。</w:t>
      </w:r>
    </w:p>
    <w:p w14:paraId="7C59FC43">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7、禁止通过乙方及其相关单位为其配偶、子女及他人谋取不正当利益。</w:t>
      </w:r>
    </w:p>
    <w:p w14:paraId="29D0DBC2">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8、禁止在乙方或乙方相关单位兼职和领取兼职工资及报酬；禁止利用甲方的商业秘密谋取个人私利。</w:t>
      </w:r>
    </w:p>
    <w:p w14:paraId="3FB02689">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9、禁止利用职权和工作之便向乙方提出上述各项禁止事项之外其它违背党规党纪、国家法律法规和本公司廉洁自律有关规定的事项或要求。</w:t>
      </w:r>
    </w:p>
    <w:p w14:paraId="07B52EBC">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b w:val="0"/>
          <w:bCs w:val="0"/>
          <w:kern w:val="0"/>
          <w:sz w:val="21"/>
          <w:szCs w:val="21"/>
        </w:rPr>
      </w:pPr>
      <w:r>
        <w:rPr>
          <w:rFonts w:hint="eastAsia" w:ascii="宋体" w:hAnsi="宋体" w:eastAsia="宋体" w:cs="宋体"/>
          <w:kern w:val="0"/>
          <w:sz w:val="21"/>
          <w:szCs w:val="21"/>
        </w:rPr>
        <w:t>10、</w:t>
      </w:r>
      <w:r>
        <w:rPr>
          <w:rFonts w:hint="eastAsia" w:ascii="宋体" w:hAnsi="宋体" w:eastAsia="宋体" w:cs="宋体"/>
          <w:b w:val="0"/>
          <w:bCs w:val="0"/>
          <w:kern w:val="0"/>
          <w:sz w:val="21"/>
          <w:szCs w:val="21"/>
        </w:rPr>
        <w:t>如乙方有知悉/怀疑甲方员工有违反上述规定的，欢迎与甲方纪委办联系。甲方设定专用电话</w:t>
      </w:r>
      <w:r>
        <w:rPr>
          <w:rFonts w:hint="eastAsia" w:ascii="宋体" w:hAnsi="宋体" w:eastAsia="宋体" w:cs="宋体"/>
          <w:b w:val="0"/>
          <w:bCs w:val="0"/>
          <w:kern w:val="0"/>
          <w:sz w:val="21"/>
          <w:szCs w:val="21"/>
          <w:lang w:val="en-US" w:eastAsia="zh-CN"/>
        </w:rPr>
        <w:t>0531-83790163</w:t>
      </w:r>
      <w:r>
        <w:rPr>
          <w:rFonts w:hint="eastAsia" w:ascii="宋体" w:hAnsi="宋体" w:eastAsia="宋体" w:cs="宋体"/>
          <w:b w:val="0"/>
          <w:bCs w:val="0"/>
          <w:kern w:val="0"/>
          <w:sz w:val="21"/>
          <w:szCs w:val="21"/>
        </w:rPr>
        <w:t>接受乙方的投诉</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kern w:val="0"/>
          <w:sz w:val="21"/>
          <w:szCs w:val="21"/>
        </w:rPr>
        <w:t>甲方会对所有信息提供者及所提供的全部资料严格保密。</w:t>
      </w:r>
    </w:p>
    <w:p w14:paraId="10E8E6DF">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第三条 乙方及其人员责任</w:t>
      </w:r>
    </w:p>
    <w:p w14:paraId="261343FA">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1、禁止向甲方及其人员提供回扣、礼金、有价证劵、支付凭证、贵重物品等。</w:t>
      </w:r>
    </w:p>
    <w:p w14:paraId="4B430897">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2、禁止为甲方及其人员报销应由甲方或甲方个人支付的费用。</w:t>
      </w:r>
    </w:p>
    <w:p w14:paraId="1FA7E56F">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3、禁止为甲方及其人员在乙方投资入股、个人借款等提供方便。</w:t>
      </w:r>
    </w:p>
    <w:p w14:paraId="20BAEC34">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4、禁止为甲方及其人员购买或装修住房，为婚丧嫁娶、配偶和子女工作安排或上学等提供方便。</w:t>
      </w:r>
    </w:p>
    <w:p w14:paraId="553ABB72">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5、禁止为甲方及其人员安排宴请以及旅游、健身、娱乐等活动。</w:t>
      </w:r>
    </w:p>
    <w:p w14:paraId="45D082B6">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6、禁止为甲方及其人员购置或提供通讯工具、交通工具和高档办公用品。</w:t>
      </w:r>
    </w:p>
    <w:p w14:paraId="52FDA8F2">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7、禁止为甲方及其人员的配偶、子女及其它亲属谋取不正当利益提供方便。</w:t>
      </w:r>
    </w:p>
    <w:p w14:paraId="4D01A709">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8、禁止安排甲方人员在乙方或乙方相关企业兼职和领取兼职工资及报酬；禁止向甲方人员打探有关涉及甲方的商业秘密。</w:t>
      </w:r>
    </w:p>
    <w:p w14:paraId="4CE45A4F">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lang w:eastAsia="zh-CN"/>
        </w:rPr>
      </w:pPr>
      <w:r>
        <w:rPr>
          <w:rFonts w:hint="eastAsia" w:ascii="宋体" w:hAnsi="宋体" w:eastAsia="宋体" w:cs="宋体"/>
          <w:kern w:val="0"/>
          <w:sz w:val="21"/>
          <w:szCs w:val="21"/>
        </w:rPr>
        <w:t>9、甲方对涉嫌与甲方有关的不廉洁行为进行调查时，乙方有配合甲方提供证据、作证的义务</w:t>
      </w:r>
      <w:r>
        <w:rPr>
          <w:rFonts w:hint="eastAsia" w:ascii="宋体" w:hAnsi="宋体" w:eastAsia="宋体" w:cs="宋体"/>
          <w:kern w:val="0"/>
          <w:sz w:val="21"/>
          <w:szCs w:val="21"/>
          <w:lang w:eastAsia="zh-CN"/>
        </w:rPr>
        <w:t>。</w:t>
      </w:r>
    </w:p>
    <w:p w14:paraId="195CF328">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第四条 违约责任</w:t>
      </w:r>
    </w:p>
    <w:p w14:paraId="7F648BEF">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1、甲方及其人员有违反本协议第一条、第二条规定的，按照管理权限，依据有关纪律规定给予有关人员纪律处分或组织处理；涉嫌犯罪的，移交司法机关追究刑事责任。</w:t>
      </w:r>
    </w:p>
    <w:p w14:paraId="3B8DB456">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乙方及其人员有违反本协议第一条、第三条规定的，甲方有权依据本协议单方决定变更甲、乙双方所有合同中关于数额、履行期限等相关权利与义务的条款，且有权解除与乙方的所有协议、合同并不承担任何违约责任。甲方并有权要求乙方赔偿由此造成的甲方损失（包括直接损失、可得利益损失、律师费等）。涉嫌犯罪的，移交司法机关追究刑事责任。</w:t>
      </w:r>
    </w:p>
    <w:p w14:paraId="5823B688">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第五条 本协议</w:t>
      </w:r>
      <w:r>
        <w:rPr>
          <w:rFonts w:hint="eastAsia" w:cs="宋体"/>
          <w:kern w:val="0"/>
          <w:sz w:val="21"/>
          <w:szCs w:val="21"/>
          <w:lang w:eastAsia="zh-CN"/>
        </w:rPr>
        <w:t>随主合同</w:t>
      </w:r>
      <w:r>
        <w:rPr>
          <w:rFonts w:hint="eastAsia" w:ascii="宋体" w:hAnsi="宋体" w:eastAsia="宋体" w:cs="宋体"/>
          <w:kern w:val="0"/>
          <w:sz w:val="21"/>
          <w:szCs w:val="21"/>
        </w:rPr>
        <w:t>经双方签署后生效</w:t>
      </w:r>
    </w:p>
    <w:p w14:paraId="0D924D55">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甲乙双方通过招标或其它方式签订业务合同时，必须签署本协议。本协议作为业务合同的附件，与合同具有同等效力；如双方未签订合同，本协议独立有效。</w:t>
      </w:r>
    </w:p>
    <w:p w14:paraId="56EB2486">
      <w:pPr>
        <w:keepNext w:val="0"/>
        <w:pageBreakBefore w:val="0"/>
        <w:widowControl w:val="0"/>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第六条 甲乙双方及其人员在合同履行完毕后，发现在合同执行期间有违反本协议规定的行为，仍按本协议规定处理。</w:t>
      </w:r>
    </w:p>
    <w:p w14:paraId="1E31F42E">
      <w:pPr>
        <w:pStyle w:val="57"/>
        <w:widowControl/>
        <w:spacing w:beforeLines="0" w:line="300" w:lineRule="auto"/>
        <w:rPr>
          <w:rFonts w:hint="eastAsia"/>
          <w:color w:val="000000"/>
          <w:sz w:val="36"/>
          <w:szCs w:val="36"/>
        </w:rPr>
      </w:pPr>
    </w:p>
    <w:p w14:paraId="2952E5A5">
      <w:pPr>
        <w:pStyle w:val="57"/>
        <w:widowControl/>
        <w:spacing w:beforeLines="0" w:line="300" w:lineRule="auto"/>
        <w:rPr>
          <w:rFonts w:hint="eastAsia"/>
          <w:color w:val="000000"/>
          <w:sz w:val="36"/>
          <w:szCs w:val="36"/>
        </w:rPr>
      </w:pPr>
    </w:p>
    <w:p w14:paraId="0FE403BE">
      <w:pPr>
        <w:pStyle w:val="57"/>
        <w:widowControl/>
        <w:spacing w:beforeLines="0" w:line="300" w:lineRule="auto"/>
        <w:rPr>
          <w:rFonts w:hint="eastAsia"/>
          <w:color w:val="000000"/>
          <w:sz w:val="36"/>
          <w:szCs w:val="36"/>
        </w:rPr>
      </w:pPr>
    </w:p>
    <w:p w14:paraId="4B9F3E4D">
      <w:pPr>
        <w:pStyle w:val="57"/>
        <w:widowControl/>
        <w:spacing w:beforeLines="0" w:line="300" w:lineRule="auto"/>
        <w:rPr>
          <w:rFonts w:hint="eastAsia"/>
          <w:color w:val="000000"/>
          <w:sz w:val="36"/>
          <w:szCs w:val="36"/>
        </w:rPr>
      </w:pPr>
    </w:p>
    <w:p w14:paraId="00BE725E">
      <w:pPr>
        <w:pStyle w:val="57"/>
        <w:widowControl/>
        <w:spacing w:beforeLines="0" w:line="300" w:lineRule="auto"/>
        <w:rPr>
          <w:rFonts w:hint="eastAsia"/>
          <w:color w:val="000000"/>
          <w:sz w:val="36"/>
          <w:szCs w:val="36"/>
        </w:rPr>
      </w:pPr>
    </w:p>
    <w:p w14:paraId="43A88F10">
      <w:pPr>
        <w:pStyle w:val="57"/>
        <w:widowControl/>
        <w:spacing w:beforeLines="0" w:line="300" w:lineRule="auto"/>
        <w:rPr>
          <w:rFonts w:hint="eastAsia"/>
          <w:color w:val="000000"/>
          <w:sz w:val="36"/>
          <w:szCs w:val="36"/>
        </w:rPr>
      </w:pPr>
    </w:p>
    <w:p w14:paraId="2C258E80">
      <w:pPr>
        <w:pStyle w:val="57"/>
        <w:widowControl/>
        <w:spacing w:beforeLines="0" w:line="300" w:lineRule="auto"/>
        <w:rPr>
          <w:color w:val="000000"/>
          <w:sz w:val="36"/>
          <w:szCs w:val="36"/>
        </w:rPr>
      </w:pPr>
      <w:bookmarkStart w:id="155" w:name="_Toc1571_WPSOffice_Level1"/>
      <w:bookmarkStart w:id="156" w:name="_Toc10782_WPSOffice_Level1"/>
      <w:r>
        <w:rPr>
          <w:rFonts w:hint="eastAsia"/>
          <w:color w:val="000000"/>
          <w:sz w:val="36"/>
          <w:szCs w:val="36"/>
        </w:rPr>
        <w:t>第</w:t>
      </w:r>
      <w:r>
        <w:rPr>
          <w:rFonts w:hint="eastAsia"/>
          <w:color w:val="000000"/>
          <w:sz w:val="36"/>
          <w:szCs w:val="36"/>
          <w:lang w:val="en-US" w:eastAsia="zh-CN"/>
        </w:rPr>
        <w:t>六</w:t>
      </w:r>
      <w:r>
        <w:rPr>
          <w:rFonts w:hint="eastAsia"/>
          <w:color w:val="000000"/>
          <w:sz w:val="36"/>
          <w:szCs w:val="36"/>
        </w:rPr>
        <w:t>章</w:t>
      </w:r>
      <w:r>
        <w:rPr>
          <w:color w:val="000000"/>
          <w:sz w:val="36"/>
          <w:szCs w:val="36"/>
        </w:rPr>
        <w:t xml:space="preserve"> </w:t>
      </w:r>
      <w:r>
        <w:rPr>
          <w:rFonts w:hint="eastAsia"/>
          <w:color w:val="000000"/>
          <w:sz w:val="36"/>
          <w:szCs w:val="36"/>
        </w:rPr>
        <w:t>投标文件格式及内容</w:t>
      </w:r>
      <w:bookmarkEnd w:id="155"/>
      <w:bookmarkEnd w:id="156"/>
    </w:p>
    <w:p w14:paraId="59271DC9">
      <w:pPr>
        <w:autoSpaceDE w:val="0"/>
        <w:autoSpaceDN w:val="0"/>
        <w:adjustRightInd w:val="0"/>
        <w:spacing w:line="300" w:lineRule="auto"/>
        <w:ind w:firstLine="3360" w:firstLineChars="1400"/>
        <w:rPr>
          <w:rFonts w:ascii="Times New Roman" w:hAnsi="Times New Roman" w:eastAsia="黑体"/>
          <w:color w:val="000000"/>
          <w:shd w:val="clear" w:color="auto" w:fill="FFFFFF"/>
        </w:rPr>
      </w:pPr>
    </w:p>
    <w:p w14:paraId="0DCFAD0B">
      <w:pPr>
        <w:autoSpaceDE w:val="0"/>
        <w:autoSpaceDN w:val="0"/>
        <w:adjustRightInd w:val="0"/>
        <w:spacing w:line="300" w:lineRule="auto"/>
        <w:ind w:firstLine="6160" w:firstLineChars="1400"/>
        <w:jc w:val="right"/>
        <w:rPr>
          <w:rFonts w:ascii="Times New Roman" w:hAnsi="Times New Roman" w:eastAsia="黑体"/>
          <w:color w:val="000000"/>
          <w:sz w:val="44"/>
          <w:szCs w:val="44"/>
        </w:rPr>
      </w:pPr>
      <w:bookmarkStart w:id="157" w:name="_Toc9011_WPSOffice_Level1"/>
      <w:bookmarkStart w:id="158" w:name="_Toc27235_WPSOffice_Level1"/>
      <w:bookmarkStart w:id="159" w:name="_Toc10654_WPSOffice_Level1"/>
      <w:r>
        <w:rPr>
          <w:rFonts w:hint="eastAsia" w:ascii="Times New Roman" w:hAnsi="Times New Roman" w:eastAsia="黑体"/>
          <w:color w:val="000000"/>
          <w:sz w:val="44"/>
          <w:szCs w:val="44"/>
          <w:bdr w:val="single" w:color="auto" w:sz="4" w:space="0"/>
        </w:rPr>
        <w:t>正本</w:t>
      </w:r>
      <w:r>
        <w:rPr>
          <w:rFonts w:ascii="Times New Roman" w:hAnsi="Times New Roman" w:eastAsia="黑体"/>
          <w:color w:val="000000"/>
          <w:sz w:val="44"/>
          <w:szCs w:val="44"/>
          <w:bdr w:val="single" w:color="auto" w:sz="4" w:space="0"/>
        </w:rPr>
        <w:t>/</w:t>
      </w:r>
      <w:r>
        <w:rPr>
          <w:rFonts w:hint="eastAsia" w:ascii="Times New Roman" w:hAnsi="Times New Roman" w:eastAsia="黑体"/>
          <w:color w:val="000000"/>
          <w:sz w:val="44"/>
          <w:szCs w:val="44"/>
          <w:bdr w:val="single" w:color="auto" w:sz="4" w:space="0"/>
        </w:rPr>
        <w:t>副本</w:t>
      </w:r>
      <w:bookmarkEnd w:id="157"/>
      <w:bookmarkEnd w:id="158"/>
      <w:bookmarkEnd w:id="159"/>
    </w:p>
    <w:p w14:paraId="1247B35F">
      <w:pPr>
        <w:spacing w:line="300" w:lineRule="auto"/>
        <w:rPr>
          <w:rFonts w:ascii="Times New Roman" w:hAnsi="Times New Roman"/>
          <w:color w:val="000000"/>
          <w:szCs w:val="21"/>
        </w:rPr>
      </w:pPr>
    </w:p>
    <w:p w14:paraId="7C57FB83">
      <w:pPr>
        <w:spacing w:line="300" w:lineRule="auto"/>
        <w:jc w:val="center"/>
        <w:rPr>
          <w:rFonts w:ascii="Times New Roman" w:hAnsi="Times New Roman" w:eastAsia="黑体"/>
          <w:color w:val="000000"/>
          <w:sz w:val="36"/>
          <w:szCs w:val="36"/>
        </w:rPr>
      </w:pPr>
      <w:r>
        <w:rPr>
          <w:rFonts w:ascii="Times New Roman" w:hAnsi="Times New Roman" w:eastAsia="黑体"/>
          <w:color w:val="000000"/>
          <w:sz w:val="36"/>
          <w:szCs w:val="36"/>
          <w:u w:val="single"/>
        </w:rPr>
        <w:t xml:space="preserve">                      </w:t>
      </w:r>
      <w:bookmarkStart w:id="160" w:name="_Toc24720_WPSOffice_Level1"/>
      <w:bookmarkStart w:id="161" w:name="_Toc23147_WPSOffice_Level1"/>
      <w:bookmarkStart w:id="162" w:name="_Toc28215_WPSOffice_Level1"/>
      <w:r>
        <w:rPr>
          <w:rFonts w:hint="eastAsia" w:ascii="Times New Roman" w:hAnsi="Times New Roman" w:eastAsia="黑体"/>
          <w:color w:val="000000"/>
          <w:sz w:val="36"/>
          <w:szCs w:val="36"/>
        </w:rPr>
        <w:t>（项目名称）</w:t>
      </w:r>
      <w:bookmarkEnd w:id="160"/>
      <w:bookmarkEnd w:id="161"/>
      <w:bookmarkEnd w:id="162"/>
    </w:p>
    <w:p w14:paraId="624E039C">
      <w:pPr>
        <w:spacing w:line="300" w:lineRule="auto"/>
        <w:rPr>
          <w:rFonts w:ascii="Times New Roman" w:hAnsi="Times New Roman"/>
          <w:b/>
          <w:color w:val="000000"/>
          <w:szCs w:val="21"/>
        </w:rPr>
      </w:pPr>
    </w:p>
    <w:p w14:paraId="6828F60A">
      <w:pPr>
        <w:spacing w:line="300" w:lineRule="auto"/>
        <w:jc w:val="center"/>
        <w:rPr>
          <w:rFonts w:ascii="Times New Roman" w:hAnsi="Times New Roman"/>
          <w:b/>
          <w:color w:val="000000"/>
          <w:szCs w:val="21"/>
        </w:rPr>
      </w:pPr>
    </w:p>
    <w:p w14:paraId="004CD21E">
      <w:pPr>
        <w:spacing w:line="300" w:lineRule="auto"/>
        <w:rPr>
          <w:rFonts w:ascii="Times New Roman" w:hAnsi="Times New Roman"/>
          <w:b/>
          <w:color w:val="000000"/>
          <w:szCs w:val="21"/>
        </w:rPr>
      </w:pPr>
    </w:p>
    <w:p w14:paraId="1402952E">
      <w:pPr>
        <w:spacing w:line="300" w:lineRule="auto"/>
        <w:rPr>
          <w:rFonts w:ascii="Times New Roman" w:hAnsi="Times New Roman"/>
          <w:b/>
          <w:color w:val="000000"/>
          <w:szCs w:val="21"/>
        </w:rPr>
      </w:pPr>
    </w:p>
    <w:p w14:paraId="2EA7C20E">
      <w:pPr>
        <w:spacing w:line="300" w:lineRule="auto"/>
        <w:rPr>
          <w:rFonts w:ascii="Times New Roman" w:hAnsi="Times New Roman"/>
          <w:b/>
          <w:color w:val="000000"/>
          <w:szCs w:val="21"/>
        </w:rPr>
      </w:pPr>
    </w:p>
    <w:p w14:paraId="04F7B1C1">
      <w:pPr>
        <w:spacing w:line="300" w:lineRule="auto"/>
        <w:rPr>
          <w:rFonts w:ascii="Times New Roman" w:hAnsi="Times New Roman"/>
          <w:b/>
          <w:color w:val="000000"/>
          <w:szCs w:val="21"/>
        </w:rPr>
      </w:pPr>
    </w:p>
    <w:p w14:paraId="256C3385">
      <w:pPr>
        <w:spacing w:line="300" w:lineRule="auto"/>
        <w:jc w:val="center"/>
        <w:rPr>
          <w:rFonts w:ascii="Times New Roman" w:hAnsi="Times New Roman" w:eastAsia="黑体"/>
          <w:color w:val="000000"/>
          <w:sz w:val="36"/>
          <w:szCs w:val="36"/>
        </w:rPr>
      </w:pPr>
      <w:bookmarkStart w:id="163" w:name="_Toc7890_WPSOffice_Level1"/>
      <w:bookmarkStart w:id="164" w:name="_Toc6615_WPSOffice_Level1"/>
      <w:bookmarkStart w:id="165" w:name="_Toc6765_WPSOffice_Level1"/>
      <w:r>
        <w:rPr>
          <w:rFonts w:hint="eastAsia" w:ascii="Times New Roman" w:hAnsi="Times New Roman" w:eastAsia="黑体"/>
          <w:color w:val="000000"/>
          <w:sz w:val="36"/>
          <w:szCs w:val="36"/>
        </w:rPr>
        <w:t>投标文件</w:t>
      </w:r>
      <w:bookmarkEnd w:id="163"/>
      <w:bookmarkEnd w:id="164"/>
      <w:bookmarkEnd w:id="165"/>
    </w:p>
    <w:p w14:paraId="45898F35">
      <w:pPr>
        <w:spacing w:line="300" w:lineRule="auto"/>
        <w:rPr>
          <w:rFonts w:ascii="Times New Roman" w:hAnsi="Times New Roman"/>
          <w:b/>
          <w:color w:val="000000"/>
          <w:szCs w:val="21"/>
        </w:rPr>
      </w:pPr>
    </w:p>
    <w:p w14:paraId="0F3DAD9F">
      <w:pPr>
        <w:spacing w:line="300" w:lineRule="auto"/>
        <w:rPr>
          <w:rFonts w:ascii="Times New Roman" w:hAnsi="Times New Roman"/>
          <w:color w:val="000000"/>
          <w:szCs w:val="21"/>
        </w:rPr>
      </w:pPr>
    </w:p>
    <w:p w14:paraId="3E9DC1AC">
      <w:pPr>
        <w:spacing w:line="300" w:lineRule="auto"/>
        <w:rPr>
          <w:rFonts w:ascii="Times New Roman" w:hAnsi="Times New Roman"/>
          <w:color w:val="000000"/>
          <w:szCs w:val="21"/>
        </w:rPr>
      </w:pPr>
    </w:p>
    <w:p w14:paraId="31B5A453">
      <w:pPr>
        <w:spacing w:line="300" w:lineRule="auto"/>
        <w:rPr>
          <w:rFonts w:ascii="Times New Roman" w:hAnsi="Times New Roman"/>
          <w:color w:val="000000"/>
          <w:szCs w:val="21"/>
        </w:rPr>
      </w:pPr>
    </w:p>
    <w:p w14:paraId="1454B222">
      <w:pPr>
        <w:spacing w:line="300" w:lineRule="auto"/>
        <w:rPr>
          <w:rFonts w:ascii="Times New Roman" w:hAnsi="Times New Roman"/>
          <w:color w:val="000000"/>
          <w:szCs w:val="21"/>
        </w:rPr>
      </w:pPr>
    </w:p>
    <w:p w14:paraId="239960B3">
      <w:pPr>
        <w:spacing w:line="300" w:lineRule="auto"/>
        <w:rPr>
          <w:rFonts w:ascii="Times New Roman" w:hAnsi="Times New Roman"/>
          <w:color w:val="000000"/>
          <w:szCs w:val="21"/>
        </w:rPr>
      </w:pPr>
    </w:p>
    <w:p w14:paraId="517E9538">
      <w:pPr>
        <w:spacing w:line="300" w:lineRule="auto"/>
        <w:rPr>
          <w:rFonts w:ascii="Times New Roman" w:hAnsi="Times New Roman"/>
          <w:color w:val="000000"/>
          <w:szCs w:val="21"/>
        </w:rPr>
      </w:pPr>
    </w:p>
    <w:p w14:paraId="1DD3AE1D">
      <w:pPr>
        <w:spacing w:line="300" w:lineRule="auto"/>
        <w:rPr>
          <w:rFonts w:ascii="Times New Roman" w:hAnsi="Times New Roman"/>
          <w:color w:val="000000"/>
          <w:szCs w:val="21"/>
        </w:rPr>
      </w:pPr>
    </w:p>
    <w:p w14:paraId="19A052E6">
      <w:pPr>
        <w:spacing w:line="300" w:lineRule="auto"/>
        <w:ind w:firstLine="140" w:firstLineChars="50"/>
        <w:rPr>
          <w:rFonts w:ascii="Times New Roman" w:hAnsi="Times New Roman" w:eastAsia="黑体"/>
          <w:color w:val="000000"/>
          <w:sz w:val="28"/>
          <w:szCs w:val="28"/>
          <w:u w:val="single"/>
        </w:rPr>
      </w:pPr>
      <w:r>
        <w:rPr>
          <w:rFonts w:hint="eastAsia" w:ascii="Times New Roman" w:hAnsi="Times New Roman" w:eastAsia="黑体"/>
          <w:color w:val="000000"/>
          <w:sz w:val="28"/>
          <w:szCs w:val="28"/>
        </w:rPr>
        <w:t>投标人：</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（盖单位公章）</w:t>
      </w:r>
    </w:p>
    <w:p w14:paraId="6AFC310A">
      <w:pPr>
        <w:spacing w:line="300" w:lineRule="auto"/>
        <w:jc w:val="center"/>
        <w:rPr>
          <w:rFonts w:ascii="Times New Roman" w:hAnsi="Times New Roman" w:eastAsia="黑体"/>
          <w:color w:val="000000"/>
          <w:sz w:val="28"/>
          <w:szCs w:val="28"/>
        </w:rPr>
      </w:pPr>
      <w:bookmarkStart w:id="166" w:name="_Toc31414_WPSOffice_Level1"/>
      <w:bookmarkStart w:id="167" w:name="_Toc14022_WPSOffice_Level1"/>
      <w:bookmarkStart w:id="168" w:name="_Toc27359_WPSOffice_Level1"/>
      <w:r>
        <w:rPr>
          <w:rFonts w:hint="eastAsia" w:ascii="Times New Roman" w:hAnsi="Times New Roman" w:eastAsia="黑体"/>
          <w:color w:val="000000"/>
          <w:sz w:val="28"/>
          <w:szCs w:val="28"/>
        </w:rPr>
        <w:t>法定代表人或其委托代理人：</w:t>
      </w:r>
      <w:r>
        <w:rPr>
          <w:rFonts w:ascii="Times New Roman" w:hAnsi="Times New Roman" w:eastAsia="黑体"/>
          <w:color w:val="000000"/>
          <w:sz w:val="28"/>
          <w:szCs w:val="28"/>
          <w:u w:val="single"/>
        </w:rPr>
        <w:t xml:space="preserve">                    </w:t>
      </w:r>
      <w:r>
        <w:rPr>
          <w:rFonts w:hint="eastAsia" w:ascii="Times New Roman" w:hAnsi="Times New Roman" w:eastAsia="黑体"/>
          <w:color w:val="000000"/>
          <w:sz w:val="28"/>
          <w:szCs w:val="28"/>
        </w:rPr>
        <w:t>（签字或盖章）</w:t>
      </w:r>
      <w:bookmarkEnd w:id="166"/>
      <w:bookmarkEnd w:id="167"/>
      <w:bookmarkEnd w:id="168"/>
    </w:p>
    <w:p w14:paraId="1C796C53">
      <w:pPr>
        <w:spacing w:line="300" w:lineRule="auto"/>
        <w:jc w:val="center"/>
        <w:rPr>
          <w:rFonts w:ascii="Times New Roman" w:hAnsi="Times New Roman" w:eastAsia="黑体"/>
          <w:color w:val="000000"/>
          <w:sz w:val="28"/>
          <w:szCs w:val="28"/>
          <w:u w:val="single"/>
        </w:rPr>
      </w:pPr>
    </w:p>
    <w:p w14:paraId="3480D243">
      <w:pPr>
        <w:spacing w:line="300" w:lineRule="auto"/>
        <w:jc w:val="center"/>
        <w:rPr>
          <w:rFonts w:ascii="Times New Roman" w:hAnsi="Times New Roman" w:eastAsia="黑体"/>
          <w:color w:val="000000"/>
          <w:sz w:val="28"/>
          <w:szCs w:val="28"/>
        </w:rPr>
        <w:sectPr>
          <w:footerReference r:id="rId6" w:type="default"/>
          <w:footerReference r:id="rId7" w:type="even"/>
          <w:pgSz w:w="11906" w:h="16838"/>
          <w:pgMar w:top="1418" w:right="1644" w:bottom="1247" w:left="1644" w:header="851" w:footer="992" w:gutter="0"/>
          <w:cols w:space="720" w:num="1"/>
          <w:docGrid w:type="lines" w:linePitch="312" w:charSpace="0"/>
        </w:sectPr>
      </w:pPr>
      <w:r>
        <w:rPr>
          <w:rFonts w:ascii="Times New Roman" w:hAnsi="Times New Roman" w:eastAsia="黑体"/>
          <w:color w:val="000000"/>
          <w:sz w:val="28"/>
          <w:szCs w:val="28"/>
          <w:u w:val="single"/>
        </w:rPr>
        <w:t xml:space="preserve">      </w:t>
      </w:r>
      <w:bookmarkStart w:id="169" w:name="_Toc26258_WPSOffice_Level1"/>
      <w:bookmarkStart w:id="170" w:name="_Toc31650_WPSOffice_Level1"/>
      <w:bookmarkStart w:id="171" w:name="_Toc30171_WPSOffice_Level1"/>
      <w:r>
        <w:rPr>
          <w:rFonts w:hint="eastAsia" w:ascii="Times New Roman" w:hAnsi="Times New Roman" w:eastAsia="黑体"/>
          <w:color w:val="000000"/>
          <w:sz w:val="28"/>
          <w:szCs w:val="28"/>
        </w:rPr>
        <w:t>年</w:t>
      </w:r>
      <w:r>
        <w:rPr>
          <w:rFonts w:ascii="Times New Roman" w:hAnsi="Times New Roman" w:eastAsia="黑体"/>
          <w:color w:val="000000"/>
          <w:sz w:val="28"/>
          <w:szCs w:val="28"/>
        </w:rPr>
        <w:t xml:space="preserve"> </w:t>
      </w:r>
      <w:r>
        <w:rPr>
          <w:rFonts w:ascii="Times New Roman" w:hAnsi="Times New Roman" w:eastAsia="黑体"/>
          <w:color w:val="000000"/>
          <w:sz w:val="28"/>
          <w:szCs w:val="28"/>
          <w:u w:val="single"/>
        </w:rPr>
        <w:t xml:space="preserve">   </w:t>
      </w:r>
      <w:r>
        <w:rPr>
          <w:rFonts w:ascii="Times New Roman" w:hAnsi="Times New Roman" w:eastAsia="黑体"/>
          <w:color w:val="000000"/>
          <w:sz w:val="28"/>
          <w:szCs w:val="28"/>
        </w:rPr>
        <w:t xml:space="preserve"> </w:t>
      </w:r>
      <w:r>
        <w:rPr>
          <w:rFonts w:hint="eastAsia" w:ascii="Times New Roman" w:hAnsi="Times New Roman" w:eastAsia="黑体"/>
          <w:color w:val="000000"/>
          <w:sz w:val="28"/>
          <w:szCs w:val="28"/>
        </w:rPr>
        <w:t>月</w:t>
      </w:r>
      <w:bookmarkEnd w:id="169"/>
      <w:bookmarkEnd w:id="170"/>
      <w:bookmarkEnd w:id="171"/>
      <w:r>
        <w:rPr>
          <w:rFonts w:ascii="Times New Roman" w:hAnsi="Times New Roman" w:eastAsia="黑体"/>
          <w:color w:val="000000"/>
          <w:sz w:val="28"/>
          <w:szCs w:val="28"/>
        </w:rPr>
        <w:t xml:space="preserve">  </w:t>
      </w:r>
      <w:r>
        <w:rPr>
          <w:rFonts w:ascii="Times New Roman" w:hAnsi="Times New Roman" w:eastAsia="黑体"/>
          <w:color w:val="000000"/>
          <w:sz w:val="28"/>
          <w:szCs w:val="28"/>
          <w:u w:val="single"/>
        </w:rPr>
        <w:t xml:space="preserve">    </w:t>
      </w:r>
    </w:p>
    <w:p w14:paraId="31FA317D">
      <w:pPr>
        <w:pStyle w:val="3"/>
        <w:spacing w:before="0" w:after="0" w:line="300" w:lineRule="auto"/>
        <w:jc w:val="center"/>
        <w:rPr>
          <w:rFonts w:ascii="Times New Roman" w:hAnsi="Times New Roman"/>
          <w:color w:val="000000"/>
        </w:rPr>
      </w:pPr>
      <w:r>
        <w:rPr>
          <w:rFonts w:hint="eastAsia" w:ascii="Times New Roman" w:hAnsi="Times New Roman"/>
          <w:color w:val="000000"/>
        </w:rPr>
        <w:t>目</w:t>
      </w:r>
      <w:r>
        <w:rPr>
          <w:rFonts w:ascii="Times New Roman" w:hAnsi="Times New Roman"/>
          <w:color w:val="000000"/>
        </w:rPr>
        <w:t xml:space="preserve">    </w:t>
      </w:r>
      <w:r>
        <w:rPr>
          <w:rFonts w:hint="eastAsia" w:ascii="Times New Roman" w:hAnsi="Times New Roman"/>
          <w:color w:val="000000"/>
        </w:rPr>
        <w:t>录</w:t>
      </w:r>
    </w:p>
    <w:p w14:paraId="6B1D2DD0">
      <w:pPr>
        <w:spacing w:line="300" w:lineRule="auto"/>
        <w:rPr>
          <w:rFonts w:ascii="Times New Roman" w:hAnsi="Times New Roman"/>
          <w:color w:val="000000"/>
        </w:rPr>
      </w:pPr>
    </w:p>
    <w:p w14:paraId="2164B745">
      <w:pPr>
        <w:spacing w:line="360" w:lineRule="auto"/>
        <w:ind w:firstLine="480" w:firstLineChars="200"/>
        <w:rPr>
          <w:rFonts w:hint="eastAsia" w:cs="仿宋"/>
        </w:rPr>
      </w:pPr>
      <w:r>
        <w:rPr>
          <w:rFonts w:hint="eastAsia" w:cs="仿宋"/>
        </w:rPr>
        <w:t>1、投标函</w:t>
      </w:r>
    </w:p>
    <w:p w14:paraId="3920ECE9">
      <w:pPr>
        <w:pStyle w:val="45"/>
        <w:ind w:left="0" w:leftChars="0" w:firstLine="0" w:firstLineChars="0"/>
      </w:pPr>
      <w:r>
        <w:rPr>
          <w:rFonts w:hint="eastAsia"/>
        </w:rPr>
        <w:t xml:space="preserve">    2、法定代表人身份证明</w:t>
      </w:r>
    </w:p>
    <w:p w14:paraId="1CABD07F">
      <w:pPr>
        <w:spacing w:line="360" w:lineRule="auto"/>
        <w:ind w:firstLine="480" w:firstLineChars="200"/>
        <w:rPr>
          <w:rFonts w:cs="仿宋"/>
        </w:rPr>
      </w:pPr>
      <w:r>
        <w:rPr>
          <w:rFonts w:hint="eastAsia" w:cs="仿宋"/>
        </w:rPr>
        <w:t>3、授权委托书</w:t>
      </w:r>
    </w:p>
    <w:p w14:paraId="544D3FE9">
      <w:pPr>
        <w:spacing w:line="360" w:lineRule="auto"/>
        <w:ind w:firstLine="480" w:firstLineChars="200"/>
        <w:rPr>
          <w:rFonts w:cs="仿宋"/>
        </w:rPr>
      </w:pPr>
      <w:r>
        <w:rPr>
          <w:rFonts w:hint="eastAsia" w:cs="仿宋"/>
        </w:rPr>
        <w:t>4、投标保证金</w:t>
      </w:r>
    </w:p>
    <w:p w14:paraId="24B69773">
      <w:pPr>
        <w:spacing w:line="360" w:lineRule="auto"/>
        <w:ind w:firstLine="480" w:firstLineChars="200"/>
        <w:rPr>
          <w:rFonts w:cs="仿宋"/>
        </w:rPr>
      </w:pPr>
      <w:r>
        <w:rPr>
          <w:rFonts w:hint="eastAsia" w:cs="仿宋"/>
        </w:rPr>
        <w:t>5、资格审查资料</w:t>
      </w:r>
    </w:p>
    <w:p w14:paraId="09562EDD">
      <w:pPr>
        <w:spacing w:line="360" w:lineRule="auto"/>
        <w:ind w:firstLine="480" w:firstLineChars="200"/>
        <w:rPr>
          <w:rFonts w:cs="仿宋"/>
        </w:rPr>
      </w:pPr>
      <w:r>
        <w:rPr>
          <w:rFonts w:hint="eastAsia" w:cs="仿宋"/>
        </w:rPr>
        <w:t>6、报价表</w:t>
      </w:r>
    </w:p>
    <w:p w14:paraId="61DBEC24">
      <w:pPr>
        <w:spacing w:line="360" w:lineRule="auto"/>
        <w:ind w:firstLine="480" w:firstLineChars="200"/>
        <w:rPr>
          <w:rFonts w:cs="仿宋"/>
        </w:rPr>
      </w:pPr>
      <w:r>
        <w:rPr>
          <w:rFonts w:hint="eastAsia" w:cs="仿宋"/>
        </w:rPr>
        <w:t>7、商务或技术偏差表</w:t>
      </w:r>
    </w:p>
    <w:p w14:paraId="2342D010">
      <w:pPr>
        <w:spacing w:line="360" w:lineRule="auto"/>
        <w:ind w:firstLine="480" w:firstLineChars="200"/>
        <w:rPr>
          <w:rFonts w:cs="仿宋"/>
        </w:rPr>
      </w:pPr>
      <w:r>
        <w:rPr>
          <w:rFonts w:hint="eastAsia" w:cs="仿宋"/>
        </w:rPr>
        <w:t>8、投标人认为应补充的其它资料</w:t>
      </w:r>
    </w:p>
    <w:p w14:paraId="3F70247F">
      <w:pPr>
        <w:jc w:val="center"/>
        <w:rPr>
          <w:rFonts w:ascii="Times New Roman" w:hAnsi="Times New Roman"/>
          <w:b/>
          <w:color w:val="000000"/>
        </w:rPr>
      </w:pPr>
      <w:r>
        <w:rPr>
          <w:rFonts w:ascii="Times New Roman" w:hAnsi="Times New Roman"/>
          <w:b/>
          <w:color w:val="000000"/>
        </w:rPr>
        <w:br w:type="page"/>
      </w:r>
    </w:p>
    <w:p w14:paraId="09F06C96">
      <w:pPr>
        <w:pStyle w:val="4"/>
        <w:spacing w:before="0" w:after="0" w:line="300" w:lineRule="auto"/>
        <w:jc w:val="left"/>
        <w:rPr>
          <w:b w:val="0"/>
          <w:bCs w:val="0"/>
          <w:color w:val="000000"/>
          <w:sz w:val="24"/>
          <w:szCs w:val="24"/>
        </w:rPr>
      </w:pPr>
      <w:bookmarkStart w:id="172" w:name="_Toc4141_WPSOffice_Level1"/>
      <w:bookmarkStart w:id="173" w:name="_Toc15065_WPSOffice_Level1"/>
      <w:r>
        <w:rPr>
          <w:rFonts w:hint="eastAsia"/>
          <w:b w:val="0"/>
          <w:bCs w:val="0"/>
          <w:color w:val="000000"/>
          <w:sz w:val="24"/>
          <w:szCs w:val="24"/>
        </w:rPr>
        <w:t>1、投标函</w:t>
      </w:r>
      <w:bookmarkEnd w:id="172"/>
      <w:bookmarkEnd w:id="173"/>
    </w:p>
    <w:p w14:paraId="42546D05">
      <w:pPr>
        <w:spacing w:line="300" w:lineRule="auto"/>
        <w:rPr>
          <w:rFonts w:ascii="Times New Roman" w:hAnsi="Times New Roman"/>
          <w:color w:val="000000"/>
          <w:szCs w:val="21"/>
        </w:rPr>
      </w:pPr>
      <w:r>
        <w:rPr>
          <w:rFonts w:ascii="Times New Roman" w:hAnsi="Times New Roman"/>
          <w:color w:val="000000"/>
          <w:szCs w:val="21"/>
          <w:u w:val="single"/>
        </w:rPr>
        <w:t xml:space="preserve">                        </w:t>
      </w:r>
      <w:r>
        <w:rPr>
          <w:rFonts w:hint="eastAsia" w:ascii="Times New Roman" w:hAnsi="Times New Roman"/>
          <w:color w:val="000000"/>
          <w:szCs w:val="21"/>
        </w:rPr>
        <w:t>（招标人名称）：</w:t>
      </w:r>
    </w:p>
    <w:p w14:paraId="40B145AE">
      <w:pPr>
        <w:spacing w:line="300" w:lineRule="auto"/>
        <w:ind w:firstLine="480" w:firstLineChars="200"/>
        <w:rPr>
          <w:rFonts w:ascii="Times New Roman" w:hAnsi="Times New Roman"/>
          <w:color w:val="000000"/>
          <w:szCs w:val="21"/>
        </w:rPr>
      </w:pPr>
      <w:r>
        <w:rPr>
          <w:rFonts w:ascii="Times New Roman" w:hAnsi="Times New Roman"/>
          <w:color w:val="000000"/>
          <w:szCs w:val="21"/>
        </w:rPr>
        <w:t>1</w:t>
      </w:r>
      <w:r>
        <w:rPr>
          <w:rFonts w:hint="eastAsia" w:ascii="Times New Roman" w:hAnsi="Times New Roman"/>
          <w:color w:val="000000"/>
          <w:szCs w:val="21"/>
        </w:rPr>
        <w:t>．我方已仔细研究了</w:t>
      </w:r>
      <w:r>
        <w:rPr>
          <w:rFonts w:ascii="Times New Roman" w:hAnsi="Times New Roman"/>
          <w:color w:val="000000"/>
          <w:szCs w:val="21"/>
          <w:u w:val="single"/>
        </w:rPr>
        <w:t xml:space="preserve">          </w:t>
      </w:r>
      <w:r>
        <w:rPr>
          <w:rFonts w:hint="eastAsia" w:ascii="Times New Roman" w:hAnsi="Times New Roman"/>
          <w:color w:val="000000"/>
          <w:szCs w:val="21"/>
        </w:rPr>
        <w:t>（项目名称）招标文件的全部内容，愿意以人民币（大写）</w:t>
      </w:r>
      <w:r>
        <w:rPr>
          <w:rFonts w:ascii="Times New Roman" w:hAnsi="Times New Roman"/>
          <w:color w:val="000000"/>
          <w:szCs w:val="21"/>
          <w:u w:val="single"/>
        </w:rPr>
        <w:t xml:space="preserve">         </w:t>
      </w:r>
      <w:r>
        <w:rPr>
          <w:rFonts w:hint="eastAsia"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u w:val="single"/>
        </w:rPr>
        <w:t xml:space="preserve">           </w:t>
      </w:r>
      <w:r>
        <w:rPr>
          <w:rFonts w:hint="eastAsia" w:ascii="Times New Roman" w:hAnsi="Times New Roman"/>
          <w:color w:val="000000"/>
          <w:szCs w:val="21"/>
        </w:rPr>
        <w:t>）</w:t>
      </w:r>
      <w:r>
        <w:rPr>
          <w:rFonts w:hint="eastAsia" w:ascii="Times New Roman" w:hAnsi="Times New Roman"/>
          <w:color w:val="000000"/>
          <w:szCs w:val="21"/>
          <w:lang w:val="en-US" w:eastAsia="zh-CN"/>
        </w:rPr>
        <w:t>含</w:t>
      </w:r>
      <w:r>
        <w:rPr>
          <w:rFonts w:hint="eastAsia" w:ascii="Times New Roman" w:hAnsi="Times New Roman"/>
          <w:color w:val="000000"/>
          <w:szCs w:val="21"/>
          <w:u w:val="single"/>
          <w:lang w:val="en-US" w:eastAsia="zh-CN"/>
        </w:rPr>
        <w:t xml:space="preserve">   </w:t>
      </w:r>
      <w:r>
        <w:rPr>
          <w:rFonts w:hint="eastAsia" w:ascii="Times New Roman" w:hAnsi="Times New Roman"/>
          <w:color w:val="000000"/>
          <w:szCs w:val="21"/>
          <w:u w:val="none"/>
          <w:lang w:val="en-US" w:eastAsia="zh-CN"/>
        </w:rPr>
        <w:t>%增值税</w:t>
      </w:r>
      <w:r>
        <w:rPr>
          <w:rFonts w:hint="eastAsia" w:ascii="Times New Roman" w:hAnsi="Times New Roman"/>
          <w:color w:val="000000"/>
          <w:szCs w:val="21"/>
        </w:rPr>
        <w:t>的总报价，</w:t>
      </w:r>
      <w:r>
        <w:rPr>
          <w:rFonts w:hint="eastAsia" w:ascii="Times New Roman" w:hAnsi="Times New Roman"/>
          <w:color w:val="000000"/>
          <w:szCs w:val="21"/>
          <w:lang w:val="en-US" w:eastAsia="zh-CN"/>
        </w:rPr>
        <w:t>单次维修保养</w:t>
      </w:r>
      <w:r>
        <w:rPr>
          <w:rFonts w:hint="eastAsia" w:ascii="Times New Roman" w:hAnsi="Times New Roman"/>
          <w:color w:val="000000"/>
          <w:szCs w:val="21"/>
          <w:u w:val="single"/>
          <w:lang w:val="en-US" w:eastAsia="zh-CN"/>
        </w:rPr>
        <w:t xml:space="preserve">     </w:t>
      </w:r>
      <w:r>
        <w:rPr>
          <w:rFonts w:hint="eastAsia" w:ascii="Times New Roman" w:hAnsi="Times New Roman"/>
          <w:color w:val="000000"/>
          <w:szCs w:val="21"/>
          <w:u w:val="none"/>
          <w:lang w:val="en-US" w:eastAsia="zh-CN"/>
        </w:rPr>
        <w:t>日历天，</w:t>
      </w:r>
      <w:r>
        <w:rPr>
          <w:rFonts w:hint="eastAsia" w:ascii="Times New Roman" w:hAnsi="Times New Roman"/>
          <w:color w:val="000000"/>
          <w:szCs w:val="21"/>
        </w:rPr>
        <w:t>按合同约定</w:t>
      </w:r>
      <w:r>
        <w:rPr>
          <w:rFonts w:hint="eastAsia"/>
        </w:rPr>
        <w:t>履行所有义务</w:t>
      </w:r>
      <w:r>
        <w:rPr>
          <w:rFonts w:hint="eastAsia" w:ascii="Times New Roman" w:hAnsi="Times New Roman"/>
          <w:color w:val="000000"/>
          <w:szCs w:val="21"/>
        </w:rPr>
        <w:t>。</w:t>
      </w:r>
    </w:p>
    <w:p w14:paraId="22340834">
      <w:pPr>
        <w:spacing w:line="300" w:lineRule="auto"/>
        <w:ind w:firstLine="480" w:firstLineChars="200"/>
        <w:rPr>
          <w:rFonts w:ascii="Times New Roman" w:hAnsi="Times New Roman"/>
          <w:color w:val="000000"/>
          <w:szCs w:val="21"/>
        </w:rPr>
      </w:pPr>
      <w:r>
        <w:rPr>
          <w:rFonts w:ascii="Times New Roman" w:hAnsi="Times New Roman"/>
          <w:color w:val="000000"/>
          <w:szCs w:val="21"/>
        </w:rPr>
        <w:t>2</w:t>
      </w:r>
      <w:r>
        <w:rPr>
          <w:rFonts w:hint="eastAsia" w:ascii="Times New Roman" w:hAnsi="Times New Roman"/>
          <w:color w:val="000000"/>
          <w:szCs w:val="21"/>
        </w:rPr>
        <w:t>．我方承诺在招标文件规定的招标有效期内不修改、撤销投标文件。</w:t>
      </w:r>
    </w:p>
    <w:p w14:paraId="5435411E">
      <w:pPr>
        <w:spacing w:line="300" w:lineRule="auto"/>
        <w:ind w:firstLine="480" w:firstLineChars="200"/>
        <w:rPr>
          <w:rFonts w:hint="default" w:ascii="Times New Roman" w:hAnsi="Times New Roman" w:eastAsia="宋体"/>
          <w:color w:val="000000"/>
          <w:szCs w:val="21"/>
          <w:lang w:val="en-US" w:eastAsia="zh-CN"/>
        </w:rPr>
      </w:pPr>
      <w:r>
        <w:rPr>
          <w:rFonts w:ascii="Times New Roman" w:hAnsi="Times New Roman"/>
          <w:color w:val="000000"/>
          <w:szCs w:val="21"/>
        </w:rPr>
        <w:t>3</w:t>
      </w:r>
      <w:r>
        <w:rPr>
          <w:rFonts w:hint="eastAsia" w:ascii="Times New Roman" w:hAnsi="Times New Roman"/>
          <w:color w:val="000000"/>
          <w:szCs w:val="21"/>
        </w:rPr>
        <w:t>．随同本报价函提交投标保证金一份，金额为人民币（大写）</w:t>
      </w:r>
      <w:r>
        <w:rPr>
          <w:rFonts w:ascii="Times New Roman" w:hAnsi="Times New Roman"/>
          <w:color w:val="000000"/>
          <w:szCs w:val="21"/>
          <w:u w:val="single"/>
        </w:rPr>
        <w:t xml:space="preserve">        </w:t>
      </w:r>
      <w:r>
        <w:rPr>
          <w:rFonts w:hint="eastAsia" w:ascii="Times New Roman" w:hAnsi="Times New Roman"/>
          <w:color w:val="000000"/>
          <w:szCs w:val="21"/>
        </w:rPr>
        <w:t>（</w:t>
      </w:r>
      <w:r>
        <w:rPr>
          <w:rFonts w:ascii="Times New Roman" w:hAnsi="Times New Roman"/>
          <w:color w:val="000000"/>
          <w:szCs w:val="21"/>
        </w:rPr>
        <w:t>¥</w:t>
      </w:r>
      <w:r>
        <w:rPr>
          <w:rFonts w:ascii="Times New Roman" w:hAnsi="Times New Roman"/>
          <w:color w:val="000000"/>
          <w:szCs w:val="21"/>
          <w:u w:val="single"/>
        </w:rPr>
        <w:t xml:space="preserve">       </w:t>
      </w:r>
      <w:r>
        <w:rPr>
          <w:rFonts w:hint="eastAsia" w:ascii="Times New Roman" w:hAnsi="Times New Roman"/>
          <w:color w:val="000000"/>
          <w:szCs w:val="21"/>
        </w:rPr>
        <w:t>）。</w:t>
      </w:r>
    </w:p>
    <w:p w14:paraId="57812DF8">
      <w:pPr>
        <w:spacing w:line="300" w:lineRule="auto"/>
        <w:ind w:firstLine="480" w:firstLineChars="200"/>
        <w:rPr>
          <w:rFonts w:ascii="Times New Roman" w:hAnsi="Times New Roman"/>
          <w:color w:val="000000"/>
          <w:szCs w:val="21"/>
        </w:rPr>
      </w:pPr>
      <w:r>
        <w:rPr>
          <w:rFonts w:ascii="Times New Roman" w:hAnsi="Times New Roman"/>
          <w:color w:val="000000"/>
          <w:szCs w:val="21"/>
        </w:rPr>
        <w:t>4</w:t>
      </w:r>
      <w:r>
        <w:rPr>
          <w:rFonts w:hint="eastAsia" w:ascii="Times New Roman" w:hAnsi="Times New Roman"/>
          <w:color w:val="000000"/>
          <w:szCs w:val="21"/>
        </w:rPr>
        <w:t>．如我方中标：</w:t>
      </w:r>
    </w:p>
    <w:p w14:paraId="06D45E88">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1</w:t>
      </w:r>
      <w:r>
        <w:rPr>
          <w:rFonts w:hint="eastAsia" w:ascii="Times New Roman" w:hAnsi="Times New Roman"/>
          <w:color w:val="000000"/>
          <w:szCs w:val="21"/>
        </w:rPr>
        <w:t>）我方承诺在收到中标通知书后，在中标通知书规定的期限内与你方签订合同。</w:t>
      </w:r>
    </w:p>
    <w:p w14:paraId="706B24A7">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2</w:t>
      </w:r>
      <w:r>
        <w:rPr>
          <w:rFonts w:hint="eastAsia" w:ascii="Times New Roman" w:hAnsi="Times New Roman"/>
          <w:color w:val="000000"/>
          <w:szCs w:val="21"/>
        </w:rPr>
        <w:t>）随同本报价函递交的报价函附录属于合同文件的组成部分。</w:t>
      </w:r>
    </w:p>
    <w:p w14:paraId="28F562CD">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3</w:t>
      </w:r>
      <w:r>
        <w:rPr>
          <w:rFonts w:hint="eastAsia" w:ascii="Times New Roman" w:hAnsi="Times New Roman"/>
          <w:color w:val="000000"/>
          <w:szCs w:val="21"/>
        </w:rPr>
        <w:t>）我方承诺按照招标文件规定向你方递交履约担保。</w:t>
      </w:r>
    </w:p>
    <w:p w14:paraId="7447DE71">
      <w:pPr>
        <w:spacing w:line="300" w:lineRule="auto"/>
        <w:ind w:firstLine="820" w:firstLineChars="342"/>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4</w:t>
      </w:r>
      <w:r>
        <w:rPr>
          <w:rFonts w:hint="eastAsia" w:ascii="Times New Roman" w:hAnsi="Times New Roman"/>
          <w:color w:val="000000"/>
          <w:szCs w:val="21"/>
        </w:rPr>
        <w:t>）我方承诺在合同约定的期限交付货物。</w:t>
      </w:r>
    </w:p>
    <w:p w14:paraId="1FA71FE1">
      <w:pPr>
        <w:spacing w:line="300" w:lineRule="auto"/>
        <w:ind w:firstLine="480" w:firstLineChars="200"/>
        <w:rPr>
          <w:rFonts w:ascii="Times New Roman" w:hAnsi="Times New Roman"/>
          <w:color w:val="000000"/>
        </w:rPr>
      </w:pPr>
      <w:r>
        <w:rPr>
          <w:rFonts w:ascii="Times New Roman" w:hAnsi="Times New Roman"/>
          <w:color w:val="000000"/>
          <w:szCs w:val="21"/>
        </w:rPr>
        <w:t>5</w:t>
      </w:r>
      <w:r>
        <w:rPr>
          <w:rFonts w:hint="eastAsia" w:ascii="Times New Roman" w:hAnsi="Times New Roman"/>
          <w:color w:val="000000"/>
          <w:szCs w:val="21"/>
        </w:rPr>
        <w:t>．</w:t>
      </w:r>
      <w:r>
        <w:rPr>
          <w:rFonts w:hint="eastAsia" w:ascii="Times New Roman" w:hAnsi="Times New Roman"/>
          <w:color w:val="000000"/>
        </w:rPr>
        <w:t>我方在此声明，所递交的投标文件及有关资料内容完整、真实和准确。</w:t>
      </w:r>
    </w:p>
    <w:p w14:paraId="40C6AC80">
      <w:pPr>
        <w:spacing w:line="300" w:lineRule="auto"/>
        <w:ind w:firstLine="480" w:firstLineChars="200"/>
        <w:rPr>
          <w:rFonts w:ascii="Times New Roman" w:hAnsi="Times New Roman"/>
          <w:color w:val="000000"/>
          <w:szCs w:val="21"/>
        </w:rPr>
      </w:pPr>
      <w:r>
        <w:rPr>
          <w:rFonts w:ascii="Times New Roman" w:hAnsi="Times New Roman"/>
          <w:color w:val="000000"/>
        </w:rPr>
        <w:t>6.</w:t>
      </w:r>
      <w:r>
        <w:rPr>
          <w:rFonts w:ascii="Times New Roman" w:hAnsi="Times New Roman" w:eastAsia="仿宋_GB2312"/>
          <w:color w:val="000000"/>
          <w:sz w:val="28"/>
        </w:rPr>
        <w:t xml:space="preserve"> </w:t>
      </w:r>
      <w:r>
        <w:rPr>
          <w:rFonts w:hint="eastAsia" w:ascii="Times New Roman" w:hAnsi="Times New Roman"/>
          <w:color w:val="000000"/>
        </w:rPr>
        <w:t>我方承诺参加招标活动近三年内无违法犯罪及其它不良行为记录，如有经行政主管部门查实或通报的不良记录，我方放弃参加本次项目招标的权利，并无条件承担相应后果和损失。</w:t>
      </w:r>
    </w:p>
    <w:p w14:paraId="20104AEB">
      <w:pPr>
        <w:spacing w:line="300" w:lineRule="auto"/>
        <w:ind w:firstLine="480" w:firstLineChars="200"/>
        <w:rPr>
          <w:rFonts w:ascii="Times New Roman" w:hAnsi="Times New Roman"/>
          <w:color w:val="000000"/>
          <w:szCs w:val="21"/>
        </w:rPr>
      </w:pPr>
      <w:r>
        <w:rPr>
          <w:rFonts w:ascii="Times New Roman" w:hAnsi="Times New Roman"/>
          <w:color w:val="000000"/>
          <w:szCs w:val="21"/>
        </w:rPr>
        <w:t>7</w:t>
      </w:r>
      <w:r>
        <w:rPr>
          <w:rFonts w:hint="eastAsia" w:ascii="Times New Roman" w:hAnsi="Times New Roman"/>
          <w:color w:val="000000"/>
          <w:szCs w:val="21"/>
        </w:rPr>
        <w:t>．</w:t>
      </w:r>
      <w:r>
        <w:rPr>
          <w:rFonts w:ascii="Times New Roman" w:hAnsi="Times New Roman"/>
          <w:color w:val="000000"/>
          <w:szCs w:val="21"/>
          <w:u w:val="single"/>
        </w:rPr>
        <w:t xml:space="preserve">                                       </w:t>
      </w:r>
      <w:r>
        <w:rPr>
          <w:rFonts w:hint="eastAsia" w:ascii="Times New Roman" w:hAnsi="Times New Roman"/>
          <w:color w:val="000000"/>
          <w:szCs w:val="21"/>
        </w:rPr>
        <w:t>（其他补充说明）。</w:t>
      </w:r>
    </w:p>
    <w:p w14:paraId="32F2637F">
      <w:pPr>
        <w:spacing w:line="300" w:lineRule="auto"/>
        <w:rPr>
          <w:rFonts w:ascii="Times New Roman" w:hAnsi="Times New Roman"/>
          <w:color w:val="000000"/>
          <w:szCs w:val="21"/>
        </w:rPr>
      </w:pPr>
      <w:r>
        <w:rPr>
          <w:rFonts w:hint="eastAsia" w:ascii="Times New Roman" w:hAnsi="Times New Roman"/>
          <w:color w:val="000000"/>
          <w:szCs w:val="21"/>
        </w:rPr>
        <w:t>投标人：</w:t>
      </w:r>
      <w:r>
        <w:rPr>
          <w:rFonts w:ascii="Times New Roman" w:hAnsi="Times New Roman"/>
          <w:color w:val="000000"/>
          <w:szCs w:val="21"/>
          <w:u w:val="single"/>
        </w:rPr>
        <w:t xml:space="preserve">                      </w:t>
      </w:r>
      <w:r>
        <w:rPr>
          <w:rFonts w:hint="eastAsia" w:ascii="Times New Roman" w:hAnsi="Times New Roman"/>
          <w:color w:val="000000"/>
          <w:szCs w:val="21"/>
        </w:rPr>
        <w:t>（盖单位章）</w:t>
      </w:r>
    </w:p>
    <w:p w14:paraId="064E44FD">
      <w:pPr>
        <w:spacing w:line="300" w:lineRule="auto"/>
        <w:rPr>
          <w:rFonts w:ascii="Times New Roman" w:hAnsi="Times New Roman"/>
          <w:color w:val="000000"/>
          <w:szCs w:val="21"/>
        </w:rPr>
      </w:pPr>
      <w:r>
        <w:rPr>
          <w:rFonts w:hint="eastAsia" w:ascii="Times New Roman" w:hAnsi="Times New Roman"/>
          <w:color w:val="000000"/>
          <w:szCs w:val="21"/>
        </w:rPr>
        <w:t>法定代表人：</w:t>
      </w:r>
      <w:r>
        <w:rPr>
          <w:rFonts w:ascii="Times New Roman" w:hAnsi="Times New Roman"/>
          <w:color w:val="000000"/>
          <w:szCs w:val="21"/>
          <w:u w:val="single"/>
        </w:rPr>
        <w:t xml:space="preserve">                    </w:t>
      </w:r>
      <w:r>
        <w:rPr>
          <w:rFonts w:hint="eastAsia" w:ascii="Times New Roman" w:hAnsi="Times New Roman"/>
          <w:color w:val="000000"/>
          <w:szCs w:val="21"/>
        </w:rPr>
        <w:t>（签字并盖章）</w:t>
      </w:r>
    </w:p>
    <w:p w14:paraId="12099BD1">
      <w:pPr>
        <w:spacing w:line="300" w:lineRule="auto"/>
        <w:rPr>
          <w:rFonts w:ascii="Times New Roman" w:hAnsi="Times New Roman"/>
          <w:color w:val="000000"/>
          <w:szCs w:val="21"/>
        </w:rPr>
      </w:pPr>
      <w:r>
        <w:rPr>
          <w:rFonts w:hint="eastAsia" w:ascii="Times New Roman" w:hAnsi="Times New Roman"/>
          <w:color w:val="000000"/>
          <w:szCs w:val="21"/>
        </w:rPr>
        <w:t>委托代理人：</w:t>
      </w:r>
      <w:r>
        <w:rPr>
          <w:rFonts w:ascii="Times New Roman" w:hAnsi="Times New Roman"/>
          <w:color w:val="000000"/>
          <w:szCs w:val="21"/>
          <w:u w:val="single"/>
        </w:rPr>
        <w:t xml:space="preserve">                    </w:t>
      </w:r>
      <w:r>
        <w:rPr>
          <w:rFonts w:hint="eastAsia" w:ascii="Times New Roman" w:hAnsi="Times New Roman"/>
          <w:color w:val="000000"/>
          <w:szCs w:val="21"/>
        </w:rPr>
        <w:t>（签字）</w:t>
      </w:r>
    </w:p>
    <w:p w14:paraId="082BC856">
      <w:pPr>
        <w:spacing w:line="300" w:lineRule="auto"/>
        <w:rPr>
          <w:rFonts w:ascii="Times New Roman" w:hAnsi="Times New Roman"/>
          <w:color w:val="000000"/>
          <w:szCs w:val="21"/>
        </w:rPr>
      </w:pPr>
      <w:r>
        <w:rPr>
          <w:rFonts w:hint="eastAsia" w:ascii="Times New Roman" w:hAnsi="Times New Roman"/>
          <w:color w:val="000000"/>
          <w:szCs w:val="21"/>
        </w:rPr>
        <w:t>地址：</w:t>
      </w:r>
      <w:r>
        <w:rPr>
          <w:rFonts w:ascii="Times New Roman" w:hAnsi="Times New Roman"/>
          <w:color w:val="000000"/>
          <w:szCs w:val="21"/>
          <w:u w:val="single"/>
        </w:rPr>
        <w:t xml:space="preserve">                                     </w:t>
      </w:r>
    </w:p>
    <w:p w14:paraId="172FB750">
      <w:pPr>
        <w:spacing w:line="300" w:lineRule="auto"/>
        <w:rPr>
          <w:rFonts w:ascii="Times New Roman" w:hAnsi="Times New Roman"/>
          <w:color w:val="000000"/>
          <w:szCs w:val="21"/>
        </w:rPr>
      </w:pPr>
      <w:r>
        <w:rPr>
          <w:rFonts w:hint="eastAsia" w:ascii="Times New Roman" w:hAnsi="Times New Roman"/>
          <w:color w:val="000000"/>
          <w:szCs w:val="21"/>
        </w:rPr>
        <w:t>网址：</w:t>
      </w:r>
      <w:r>
        <w:rPr>
          <w:rFonts w:ascii="Times New Roman" w:hAnsi="Times New Roman"/>
          <w:color w:val="000000"/>
          <w:szCs w:val="21"/>
          <w:u w:val="single"/>
        </w:rPr>
        <w:t xml:space="preserve">                                     </w:t>
      </w:r>
    </w:p>
    <w:p w14:paraId="4E8294EE">
      <w:pPr>
        <w:spacing w:line="300" w:lineRule="auto"/>
        <w:rPr>
          <w:rFonts w:ascii="Times New Roman" w:hAnsi="Times New Roman"/>
          <w:color w:val="000000"/>
          <w:szCs w:val="21"/>
        </w:rPr>
      </w:pPr>
      <w:r>
        <w:rPr>
          <w:rFonts w:hint="eastAsia" w:ascii="Times New Roman" w:hAnsi="Times New Roman"/>
          <w:color w:val="000000"/>
          <w:szCs w:val="21"/>
        </w:rPr>
        <w:t>电话：</w:t>
      </w:r>
      <w:r>
        <w:rPr>
          <w:rFonts w:ascii="Times New Roman" w:hAnsi="Times New Roman"/>
          <w:color w:val="000000"/>
          <w:szCs w:val="21"/>
          <w:u w:val="single"/>
        </w:rPr>
        <w:t xml:space="preserve">                                     </w:t>
      </w:r>
    </w:p>
    <w:p w14:paraId="46ECCEA8">
      <w:pPr>
        <w:spacing w:line="300" w:lineRule="auto"/>
        <w:rPr>
          <w:rFonts w:ascii="Times New Roman" w:hAnsi="Times New Roman"/>
          <w:color w:val="000000"/>
          <w:szCs w:val="21"/>
        </w:rPr>
      </w:pPr>
      <w:r>
        <w:rPr>
          <w:rFonts w:hint="eastAsia" w:ascii="Times New Roman" w:hAnsi="Times New Roman"/>
          <w:color w:val="000000"/>
          <w:szCs w:val="21"/>
        </w:rPr>
        <w:t>传真：</w:t>
      </w:r>
      <w:r>
        <w:rPr>
          <w:rFonts w:ascii="Times New Roman" w:hAnsi="Times New Roman"/>
          <w:color w:val="000000"/>
          <w:szCs w:val="21"/>
          <w:u w:val="single"/>
        </w:rPr>
        <w:t xml:space="preserve">                                     </w:t>
      </w:r>
    </w:p>
    <w:p w14:paraId="0C6BBEF3">
      <w:pPr>
        <w:spacing w:line="300" w:lineRule="auto"/>
        <w:rPr>
          <w:rFonts w:ascii="Times New Roman" w:hAnsi="Times New Roman"/>
          <w:color w:val="000000"/>
          <w:szCs w:val="21"/>
        </w:rPr>
      </w:pPr>
      <w:r>
        <w:rPr>
          <w:rFonts w:hint="eastAsia" w:ascii="Times New Roman" w:hAnsi="Times New Roman"/>
          <w:color w:val="000000"/>
          <w:szCs w:val="21"/>
        </w:rPr>
        <w:t>邮政编码：</w:t>
      </w:r>
      <w:r>
        <w:rPr>
          <w:rFonts w:ascii="Times New Roman" w:hAnsi="Times New Roman"/>
          <w:color w:val="000000"/>
          <w:szCs w:val="21"/>
          <w:u w:val="single"/>
        </w:rPr>
        <w:t xml:space="preserve">                                 </w:t>
      </w:r>
    </w:p>
    <w:p w14:paraId="6D707889">
      <w:pPr>
        <w:spacing w:line="300" w:lineRule="auto"/>
        <w:ind w:firstLine="120" w:firstLineChars="50"/>
        <w:jc w:val="right"/>
        <w:rPr>
          <w:rFonts w:ascii="Times New Roman" w:hAnsi="Times New Roman"/>
          <w:color w:val="000000"/>
          <w:szCs w:val="21"/>
          <w:u w:val="single"/>
        </w:rPr>
      </w:pPr>
    </w:p>
    <w:p w14:paraId="77959224">
      <w:pPr>
        <w:spacing w:line="300" w:lineRule="auto"/>
        <w:ind w:firstLine="120" w:firstLineChars="50"/>
        <w:jc w:val="right"/>
        <w:rPr>
          <w:rFonts w:ascii="Times New Roman" w:hAnsi="Times New Roman"/>
          <w:color w:val="000000"/>
          <w:szCs w:val="21"/>
        </w:rPr>
      </w:pPr>
      <w:r>
        <w:rPr>
          <w:rFonts w:hint="eastAsia" w:ascii="Times New Roman" w:hAnsi="Times New Roman"/>
          <w:color w:val="000000"/>
          <w:szCs w:val="21"/>
        </w:rPr>
        <w:t xml:space="preserve">               </w:t>
      </w:r>
      <w:r>
        <w:rPr>
          <w:rFonts w:hint="eastAsia" w:ascii="Times New Roman" w:hAnsi="Times New Roman"/>
          <w:color w:val="000000"/>
          <w:szCs w:val="21"/>
          <w:u w:val="single"/>
        </w:rPr>
        <w:t xml:space="preserve">    </w:t>
      </w:r>
      <w:r>
        <w:rPr>
          <w:rFonts w:hint="eastAsia" w:ascii="Times New Roman" w:hAnsi="Times New Roman"/>
          <w:color w:val="000000"/>
          <w:szCs w:val="21"/>
        </w:rPr>
        <w:t>年</w:t>
      </w:r>
      <w:r>
        <w:rPr>
          <w:rFonts w:ascii="Times New Roman" w:hAnsi="Times New Roman"/>
          <w:color w:val="000000"/>
          <w:szCs w:val="21"/>
          <w:u w:val="single"/>
        </w:rPr>
        <w:t xml:space="preserve">    </w:t>
      </w:r>
      <w:r>
        <w:rPr>
          <w:rFonts w:hint="eastAsia" w:ascii="Times New Roman" w:hAnsi="Times New Roman"/>
          <w:color w:val="000000"/>
          <w:szCs w:val="21"/>
        </w:rPr>
        <w:t>月</w:t>
      </w:r>
      <w:r>
        <w:rPr>
          <w:rFonts w:ascii="Times New Roman" w:hAnsi="Times New Roman"/>
          <w:color w:val="000000"/>
          <w:szCs w:val="21"/>
          <w:u w:val="single"/>
        </w:rPr>
        <w:t xml:space="preserve">   </w:t>
      </w:r>
      <w:r>
        <w:rPr>
          <w:rFonts w:hint="eastAsia" w:ascii="Times New Roman" w:hAnsi="Times New Roman"/>
          <w:color w:val="000000"/>
          <w:szCs w:val="21"/>
        </w:rPr>
        <w:t>日</w:t>
      </w:r>
    </w:p>
    <w:p w14:paraId="03FA08DD">
      <w:pPr>
        <w:spacing w:line="300" w:lineRule="auto"/>
        <w:ind w:firstLine="5760" w:firstLineChars="2400"/>
        <w:rPr>
          <w:rFonts w:ascii="Times New Roman" w:hAnsi="Times New Roman"/>
          <w:color w:val="000000"/>
          <w:szCs w:val="21"/>
        </w:rPr>
      </w:pPr>
    </w:p>
    <w:p w14:paraId="39E9EF91">
      <w:pPr>
        <w:keepNext/>
        <w:keepLines/>
        <w:spacing w:before="240" w:beforeLines="100" w:after="120" w:line="520" w:lineRule="exact"/>
        <w:ind w:right="601"/>
        <w:outlineLvl w:val="1"/>
        <w:rPr>
          <w:rFonts w:cs="仿宋"/>
        </w:rPr>
      </w:pPr>
      <w:r>
        <w:rPr>
          <w:rFonts w:ascii="Times New Roman" w:hAnsi="Times New Roman" w:eastAsia="黑体"/>
          <w:color w:val="000000"/>
          <w:sz w:val="20"/>
        </w:rPr>
        <w:br w:type="page"/>
      </w:r>
      <w:bookmarkStart w:id="174" w:name="_Toc13673_WPSOffice_Level1"/>
      <w:bookmarkStart w:id="175" w:name="_Toc31858_WPSOffice_Level1"/>
      <w:r>
        <w:rPr>
          <w:rFonts w:hint="eastAsia" w:cs="仿宋"/>
        </w:rPr>
        <w:t>2、</w:t>
      </w:r>
      <w:r>
        <w:rPr>
          <w:rFonts w:hint="eastAsia" w:cs="仿宋"/>
          <w:lang w:val="zh-TW" w:eastAsia="zh-TW"/>
        </w:rPr>
        <w:t>法定代表人身份证明</w:t>
      </w:r>
      <w:bookmarkEnd w:id="174"/>
      <w:bookmarkEnd w:id="175"/>
    </w:p>
    <w:p w14:paraId="368CB7EA">
      <w:pPr>
        <w:pStyle w:val="3"/>
        <w:spacing w:before="0" w:after="0" w:line="300" w:lineRule="auto"/>
        <w:jc w:val="center"/>
        <w:rPr>
          <w:rFonts w:hint="eastAsia" w:ascii="Times New Roman" w:hAnsi="Times New Roman"/>
          <w:b w:val="0"/>
          <w:bCs w:val="0"/>
          <w:color w:val="000000"/>
          <w:lang w:val="zh-TW" w:eastAsia="zh-TW"/>
        </w:rPr>
      </w:pPr>
      <w:r>
        <w:rPr>
          <w:rFonts w:hint="eastAsia" w:ascii="Times New Roman" w:hAnsi="Times New Roman"/>
          <w:b w:val="0"/>
          <w:bCs w:val="0"/>
          <w:color w:val="000000"/>
          <w:lang w:val="zh-TW" w:eastAsia="zh-TW"/>
        </w:rPr>
        <w:t>法定代表人身份证明(适用于法定代表人投标时)</w:t>
      </w:r>
    </w:p>
    <w:p w14:paraId="55D6BC43">
      <w:pPr>
        <w:tabs>
          <w:tab w:val="left" w:leader="underscore" w:pos="3773"/>
        </w:tabs>
        <w:spacing w:before="240" w:beforeLines="100" w:line="520" w:lineRule="exact"/>
        <w:rPr>
          <w:rFonts w:ascii="仿宋" w:hAnsi="仿宋" w:eastAsia="仿宋"/>
          <w:sz w:val="28"/>
          <w:szCs w:val="28"/>
        </w:rPr>
      </w:pPr>
      <w:r>
        <w:rPr>
          <w:rFonts w:hint="eastAsia"/>
        </w:rPr>
        <w:t>投标人名称：</w:t>
      </w:r>
      <w:r>
        <w:rPr>
          <w:rFonts w:ascii="仿宋" w:hAnsi="仿宋" w:eastAsia="仿宋"/>
          <w:sz w:val="28"/>
          <w:szCs w:val="28"/>
        </w:rPr>
        <w:tab/>
      </w:r>
    </w:p>
    <w:p w14:paraId="0EF87BCD">
      <w:pPr>
        <w:tabs>
          <w:tab w:val="left" w:leader="underscore" w:pos="2304"/>
          <w:tab w:val="left" w:leader="underscore" w:pos="3773"/>
          <w:tab w:val="left" w:leader="underscore" w:pos="5262"/>
          <w:tab w:val="left" w:leader="underscore" w:pos="6715"/>
        </w:tabs>
        <w:spacing w:line="520" w:lineRule="exact"/>
        <w:rPr>
          <w:rFonts w:ascii="仿宋" w:hAnsi="仿宋" w:eastAsia="仿宋"/>
          <w:sz w:val="28"/>
          <w:szCs w:val="28"/>
        </w:rPr>
      </w:pPr>
      <w:r>
        <w:rPr>
          <w:rFonts w:hint="eastAsia"/>
        </w:rPr>
        <w:t>姓名</w:t>
      </w:r>
      <w:r>
        <w:rPr>
          <w:rFonts w:ascii="仿宋" w:hAnsi="仿宋" w:eastAsia="仿宋"/>
          <w:sz w:val="28"/>
          <w:szCs w:val="28"/>
        </w:rPr>
        <w:t>：</w:t>
      </w:r>
      <w:r>
        <w:rPr>
          <w:rFonts w:ascii="仿宋" w:hAnsi="仿宋" w:eastAsia="仿宋"/>
          <w:sz w:val="28"/>
          <w:szCs w:val="28"/>
        </w:rPr>
        <w:tab/>
      </w:r>
      <w:r>
        <w:rPr>
          <w:rFonts w:hint="eastAsia"/>
        </w:rPr>
        <w:t>性别：</w:t>
      </w:r>
      <w:r>
        <w:rPr>
          <w:rFonts w:ascii="仿宋" w:hAnsi="仿宋" w:eastAsia="仿宋"/>
          <w:sz w:val="28"/>
          <w:szCs w:val="28"/>
        </w:rPr>
        <w:tab/>
      </w:r>
      <w:r>
        <w:rPr>
          <w:rFonts w:hint="eastAsia"/>
        </w:rPr>
        <w:t>年龄</w:t>
      </w:r>
      <w:r>
        <w:rPr>
          <w:rFonts w:ascii="仿宋" w:hAnsi="仿宋" w:eastAsia="仿宋"/>
          <w:sz w:val="28"/>
          <w:szCs w:val="28"/>
        </w:rPr>
        <w:t>：</w:t>
      </w:r>
      <w:r>
        <w:rPr>
          <w:rFonts w:ascii="仿宋" w:hAnsi="仿宋" w:eastAsia="仿宋"/>
          <w:sz w:val="28"/>
          <w:szCs w:val="28"/>
        </w:rPr>
        <w:tab/>
      </w:r>
      <w:r>
        <w:rPr>
          <w:rFonts w:hint="eastAsia"/>
        </w:rPr>
        <w:t>职务：</w:t>
      </w:r>
      <w:r>
        <w:rPr>
          <w:rFonts w:ascii="仿宋" w:hAnsi="仿宋" w:eastAsia="仿宋"/>
          <w:sz w:val="28"/>
          <w:szCs w:val="28"/>
        </w:rPr>
        <w:tab/>
      </w:r>
    </w:p>
    <w:p w14:paraId="2DAEC1C8">
      <w:pPr>
        <w:tabs>
          <w:tab w:val="left" w:leader="underscore" w:pos="2731"/>
        </w:tabs>
        <w:spacing w:line="520" w:lineRule="exact"/>
        <w:rPr>
          <w:rFonts w:ascii="仿宋" w:hAnsi="仿宋" w:eastAsia="仿宋"/>
          <w:sz w:val="28"/>
          <w:szCs w:val="28"/>
        </w:rPr>
      </w:pPr>
      <w:r>
        <w:rPr>
          <w:rFonts w:hint="eastAsia"/>
        </w:rPr>
        <w:t>系</w:t>
      </w:r>
      <w:r>
        <w:rPr>
          <w:rFonts w:ascii="仿宋" w:hAnsi="仿宋" w:eastAsia="仿宋"/>
          <w:sz w:val="28"/>
          <w:szCs w:val="28"/>
        </w:rPr>
        <w:tab/>
      </w:r>
      <w:r>
        <w:rPr>
          <w:rFonts w:ascii="仿宋" w:hAnsi="仿宋" w:eastAsia="仿宋"/>
          <w:sz w:val="28"/>
          <w:szCs w:val="28"/>
        </w:rPr>
        <w:t>(</w:t>
      </w:r>
      <w:r>
        <w:rPr>
          <w:rFonts w:hint="eastAsia"/>
        </w:rPr>
        <w:t>投标人名称）的法定代表人（单位负责人)</w:t>
      </w:r>
    </w:p>
    <w:p w14:paraId="461EA68C">
      <w:pPr>
        <w:tabs>
          <w:tab w:val="left" w:leader="underscore" w:pos="2731"/>
        </w:tabs>
        <w:spacing w:line="520" w:lineRule="exact"/>
        <w:rPr>
          <w:rFonts w:hint="eastAsia"/>
        </w:rPr>
      </w:pPr>
      <w:r>
        <w:rPr>
          <w:rFonts w:hint="eastAsia"/>
        </w:rPr>
        <w:t>特此证明。</w:t>
      </w:r>
    </w:p>
    <w:p w14:paraId="3DE8797F">
      <w:pPr>
        <w:tabs>
          <w:tab w:val="left" w:leader="underscore" w:pos="2731"/>
        </w:tabs>
        <w:spacing w:line="520" w:lineRule="exact"/>
        <w:rPr>
          <w:rFonts w:hint="eastAsia"/>
        </w:rPr>
      </w:pPr>
      <w:r>
        <w:rPr>
          <w:rFonts w:hint="eastAsia"/>
        </w:rPr>
        <w:t>附：法定代表人（单位负责人）身份证复印件。</w:t>
      </w:r>
    </w:p>
    <w:p w14:paraId="7F079B02">
      <w:pPr>
        <w:tabs>
          <w:tab w:val="left" w:leader="underscore" w:pos="2731"/>
        </w:tabs>
        <w:spacing w:line="520" w:lineRule="exact"/>
        <w:rPr>
          <w:rFonts w:hint="eastAsia"/>
        </w:rPr>
      </w:pPr>
      <w:r>
        <w:rPr>
          <w:rFonts w:hint="eastAsia"/>
        </w:rPr>
        <w:t>注：本身份证明需由投标人加盖单位公章。</w:t>
      </w:r>
    </w:p>
    <w:p w14:paraId="086637AE">
      <w:pPr>
        <w:spacing w:after="1057" w:line="520" w:lineRule="exact"/>
        <w:rPr>
          <w:rFonts w:ascii="仿宋" w:hAnsi="仿宋" w:eastAsia="仿宋"/>
          <w:sz w:val="28"/>
          <w:szCs w:val="28"/>
        </w:rPr>
      </w:pPr>
    </w:p>
    <w:p w14:paraId="69E24979">
      <w:pPr>
        <w:tabs>
          <w:tab w:val="left" w:leader="underscore" w:pos="6434"/>
        </w:tabs>
        <w:spacing w:after="642" w:line="520" w:lineRule="exact"/>
        <w:ind w:left="4140"/>
        <w:rPr>
          <w:rFonts w:hint="eastAsia"/>
        </w:rPr>
      </w:pPr>
      <w:r>
        <w:rPr>
          <w:rFonts w:hint="eastAsia"/>
          <w:color w:val="000000"/>
          <w:spacing w:val="-10"/>
          <w:lang w:val="zh-TW" w:eastAsia="zh-TW" w:bidi="zh-TW"/>
        </w:rPr>
        <w:t>投标人：</w:t>
      </w:r>
      <w:r>
        <w:rPr>
          <w:rFonts w:hint="eastAsia"/>
        </w:rPr>
        <w:tab/>
      </w:r>
      <w:r>
        <w:rPr>
          <w:rFonts w:hint="eastAsia"/>
        </w:rPr>
        <w:t>(单位公章)</w:t>
      </w:r>
    </w:p>
    <w:p w14:paraId="60C5AAFA">
      <w:pPr>
        <w:tabs>
          <w:tab w:val="left" w:leader="underscore" w:pos="5262"/>
          <w:tab w:val="left" w:leader="underscore" w:pos="5980"/>
          <w:tab w:val="left" w:leader="underscore" w:pos="6958"/>
        </w:tabs>
        <w:spacing w:line="520" w:lineRule="exact"/>
        <w:ind w:left="4640"/>
        <w:rPr>
          <w:rFonts w:hint="eastAsia"/>
        </w:rPr>
      </w:pPr>
      <w:r>
        <w:rPr>
          <w:rFonts w:hint="eastAsia"/>
        </w:rPr>
        <w:t>年月日</w:t>
      </w:r>
    </w:p>
    <w:p w14:paraId="71372898">
      <w:pPr>
        <w:spacing w:line="360" w:lineRule="auto"/>
        <w:ind w:firstLine="400" w:firstLineChars="200"/>
        <w:rPr>
          <w:rFonts w:ascii="Times New Roman" w:hAnsi="Times New Roman" w:eastAsia="黑体"/>
          <w:color w:val="000000"/>
          <w:sz w:val="20"/>
        </w:rPr>
      </w:pPr>
    </w:p>
    <w:p w14:paraId="48C231A4">
      <w:pPr>
        <w:pStyle w:val="45"/>
        <w:ind w:left="480" w:firstLine="400"/>
        <w:rPr>
          <w:rFonts w:eastAsia="黑体"/>
          <w:color w:val="000000"/>
          <w:sz w:val="20"/>
        </w:rPr>
      </w:pPr>
    </w:p>
    <w:p w14:paraId="27FD46EA">
      <w:pPr>
        <w:pStyle w:val="45"/>
        <w:ind w:left="480" w:firstLine="400"/>
        <w:rPr>
          <w:rFonts w:eastAsia="黑体"/>
          <w:color w:val="000000"/>
          <w:sz w:val="20"/>
        </w:rPr>
      </w:pPr>
    </w:p>
    <w:p w14:paraId="4C93041E">
      <w:pPr>
        <w:pStyle w:val="45"/>
        <w:ind w:left="480" w:firstLine="400"/>
        <w:rPr>
          <w:rFonts w:eastAsia="黑体"/>
          <w:color w:val="000000"/>
          <w:sz w:val="20"/>
        </w:rPr>
      </w:pPr>
    </w:p>
    <w:p w14:paraId="3367D0A6">
      <w:pPr>
        <w:pStyle w:val="45"/>
        <w:ind w:left="480" w:firstLine="400"/>
        <w:rPr>
          <w:rFonts w:eastAsia="黑体"/>
          <w:color w:val="000000"/>
          <w:sz w:val="20"/>
        </w:rPr>
      </w:pPr>
    </w:p>
    <w:p w14:paraId="1F6EE135">
      <w:pPr>
        <w:pStyle w:val="45"/>
        <w:ind w:left="480" w:firstLine="400"/>
        <w:rPr>
          <w:rFonts w:eastAsia="黑体"/>
          <w:color w:val="000000"/>
          <w:sz w:val="20"/>
        </w:rPr>
      </w:pPr>
    </w:p>
    <w:p w14:paraId="5F6CFC46">
      <w:pPr>
        <w:pStyle w:val="45"/>
        <w:ind w:left="480" w:firstLine="400"/>
        <w:rPr>
          <w:rFonts w:eastAsia="黑体"/>
          <w:color w:val="000000"/>
          <w:sz w:val="20"/>
        </w:rPr>
      </w:pPr>
    </w:p>
    <w:p w14:paraId="32AE02A0">
      <w:pPr>
        <w:pStyle w:val="45"/>
        <w:ind w:left="480" w:firstLine="400"/>
        <w:rPr>
          <w:rFonts w:eastAsia="黑体"/>
          <w:color w:val="000000"/>
          <w:sz w:val="20"/>
        </w:rPr>
      </w:pPr>
    </w:p>
    <w:p w14:paraId="0C59099E">
      <w:pPr>
        <w:pStyle w:val="45"/>
        <w:ind w:left="480" w:firstLine="400"/>
        <w:rPr>
          <w:rFonts w:eastAsia="黑体"/>
          <w:color w:val="000000"/>
          <w:sz w:val="20"/>
        </w:rPr>
      </w:pPr>
    </w:p>
    <w:p w14:paraId="31FFE6F3">
      <w:pPr>
        <w:pStyle w:val="45"/>
        <w:ind w:left="480" w:firstLine="400"/>
        <w:rPr>
          <w:rFonts w:eastAsia="黑体"/>
          <w:color w:val="000000"/>
          <w:sz w:val="20"/>
        </w:rPr>
      </w:pPr>
    </w:p>
    <w:p w14:paraId="42688FC2">
      <w:pPr>
        <w:pStyle w:val="45"/>
        <w:ind w:left="480" w:firstLine="400"/>
        <w:rPr>
          <w:rFonts w:eastAsia="黑体"/>
          <w:color w:val="000000"/>
          <w:sz w:val="20"/>
        </w:rPr>
      </w:pPr>
    </w:p>
    <w:p w14:paraId="20F04F6F">
      <w:pPr>
        <w:pStyle w:val="45"/>
        <w:ind w:left="480" w:firstLine="400"/>
        <w:rPr>
          <w:rFonts w:eastAsia="黑体"/>
          <w:color w:val="000000"/>
          <w:sz w:val="20"/>
        </w:rPr>
      </w:pPr>
    </w:p>
    <w:p w14:paraId="38AC0194">
      <w:pPr>
        <w:pStyle w:val="45"/>
        <w:ind w:left="480" w:firstLine="400"/>
        <w:rPr>
          <w:rFonts w:eastAsia="黑体"/>
          <w:color w:val="000000"/>
          <w:sz w:val="20"/>
        </w:rPr>
      </w:pPr>
    </w:p>
    <w:p w14:paraId="75519244">
      <w:pPr>
        <w:pStyle w:val="45"/>
        <w:ind w:left="480" w:firstLine="400"/>
        <w:rPr>
          <w:rFonts w:eastAsia="黑体"/>
          <w:color w:val="000000"/>
          <w:sz w:val="20"/>
        </w:rPr>
      </w:pPr>
    </w:p>
    <w:p w14:paraId="58260BCF">
      <w:pPr>
        <w:pStyle w:val="45"/>
        <w:ind w:left="480" w:firstLine="400"/>
        <w:rPr>
          <w:rFonts w:eastAsia="黑体"/>
          <w:color w:val="000000"/>
          <w:sz w:val="20"/>
        </w:rPr>
      </w:pPr>
    </w:p>
    <w:p w14:paraId="6F18580F">
      <w:pPr>
        <w:pStyle w:val="45"/>
        <w:ind w:left="480" w:firstLine="400"/>
        <w:rPr>
          <w:rFonts w:eastAsia="黑体"/>
          <w:color w:val="000000"/>
          <w:sz w:val="20"/>
        </w:rPr>
      </w:pPr>
    </w:p>
    <w:p w14:paraId="1A7CFF54">
      <w:pPr>
        <w:pStyle w:val="45"/>
        <w:ind w:left="480" w:firstLine="400"/>
        <w:rPr>
          <w:rFonts w:eastAsia="黑体"/>
          <w:color w:val="000000"/>
          <w:sz w:val="20"/>
        </w:rPr>
      </w:pPr>
    </w:p>
    <w:p w14:paraId="10E785AA">
      <w:pPr>
        <w:spacing w:line="360" w:lineRule="auto"/>
        <w:ind w:firstLine="480" w:firstLineChars="200"/>
        <w:rPr>
          <w:rFonts w:cs="仿宋"/>
        </w:rPr>
      </w:pPr>
      <w:bookmarkStart w:id="176" w:name="_Toc25293_WPSOffice_Level1"/>
      <w:bookmarkStart w:id="177" w:name="_Toc14_WPSOffice_Level1"/>
      <w:r>
        <w:rPr>
          <w:rFonts w:hint="eastAsia" w:cs="仿宋"/>
        </w:rPr>
        <w:t>3、授权委托书</w:t>
      </w:r>
      <w:bookmarkEnd w:id="176"/>
      <w:bookmarkEnd w:id="177"/>
    </w:p>
    <w:p w14:paraId="2E8CA635">
      <w:pPr>
        <w:pStyle w:val="3"/>
        <w:spacing w:before="0" w:after="0" w:line="300" w:lineRule="auto"/>
        <w:jc w:val="center"/>
        <w:rPr>
          <w:rFonts w:ascii="Times New Roman" w:hAnsi="Times New Roman"/>
          <w:b w:val="0"/>
          <w:bCs w:val="0"/>
          <w:color w:val="000000"/>
        </w:rPr>
      </w:pPr>
      <w:r>
        <w:rPr>
          <w:rFonts w:hint="eastAsia" w:ascii="Times New Roman" w:hAnsi="Times New Roman"/>
          <w:b w:val="0"/>
          <w:bCs w:val="0"/>
          <w:color w:val="000000"/>
        </w:rPr>
        <w:t>授权委托书</w:t>
      </w:r>
      <w:r>
        <w:rPr>
          <w:rFonts w:hint="eastAsia" w:ascii="仿宋" w:hAnsi="仿宋" w:eastAsia="仿宋" w:cs="MingLiU"/>
          <w:color w:val="000000"/>
          <w:sz w:val="30"/>
          <w:szCs w:val="30"/>
          <w:shd w:val="clear" w:color="auto" w:fill="FFFFFF"/>
          <w:lang w:val="zh-TW" w:eastAsia="zh-TW" w:bidi="zh-TW"/>
        </w:rPr>
        <w:t>(适用于委托代理人投标时)</w:t>
      </w:r>
    </w:p>
    <w:p w14:paraId="2DF02921">
      <w:pPr>
        <w:spacing w:line="300" w:lineRule="auto"/>
        <w:rPr>
          <w:rFonts w:ascii="Times New Roman" w:hAnsi="Times New Roman" w:eastAsia="黑体"/>
          <w:color w:val="000000"/>
          <w:szCs w:val="21"/>
        </w:rPr>
      </w:pPr>
    </w:p>
    <w:p w14:paraId="57B1303E">
      <w:pPr>
        <w:topLinePunct/>
        <w:spacing w:line="300" w:lineRule="auto"/>
        <w:ind w:firstLine="480" w:firstLineChars="200"/>
        <w:rPr>
          <w:rFonts w:ascii="Times New Roman" w:hAnsi="Times New Roman"/>
          <w:color w:val="000000"/>
          <w:szCs w:val="21"/>
        </w:rPr>
      </w:pPr>
      <w:r>
        <w:rPr>
          <w:rFonts w:hint="eastAsia" w:ascii="Times New Roman" w:hAnsi="Times New Roman"/>
          <w:color w:val="000000"/>
          <w:szCs w:val="21"/>
        </w:rPr>
        <w:t>本人</w:t>
      </w:r>
      <w:r>
        <w:rPr>
          <w:rFonts w:ascii="Times New Roman" w:hAnsi="Times New Roman"/>
          <w:color w:val="000000"/>
          <w:szCs w:val="21"/>
          <w:u w:val="single"/>
        </w:rPr>
        <w:t xml:space="preserve">       </w:t>
      </w:r>
      <w:r>
        <w:rPr>
          <w:rFonts w:hint="eastAsia" w:ascii="Times New Roman" w:hAnsi="Times New Roman"/>
          <w:color w:val="000000"/>
          <w:szCs w:val="21"/>
        </w:rPr>
        <w:t>（姓名）系</w:t>
      </w:r>
      <w:r>
        <w:rPr>
          <w:rFonts w:ascii="Times New Roman" w:hAnsi="Times New Roman"/>
          <w:color w:val="000000"/>
          <w:szCs w:val="21"/>
          <w:u w:val="single"/>
        </w:rPr>
        <w:t xml:space="preserve">        </w:t>
      </w:r>
      <w:r>
        <w:rPr>
          <w:rFonts w:hint="eastAsia" w:ascii="Times New Roman" w:hAnsi="Times New Roman"/>
          <w:color w:val="000000"/>
          <w:szCs w:val="21"/>
        </w:rPr>
        <w:t>（名称）的法定代表人，现委托</w:t>
      </w:r>
      <w:r>
        <w:rPr>
          <w:rFonts w:ascii="Times New Roman" w:hAnsi="Times New Roman"/>
          <w:color w:val="000000"/>
          <w:szCs w:val="21"/>
          <w:u w:val="single"/>
        </w:rPr>
        <w:t xml:space="preserve">        </w:t>
      </w:r>
      <w:r>
        <w:rPr>
          <w:rFonts w:hint="eastAsia" w:ascii="Times New Roman" w:hAnsi="Times New Roman"/>
          <w:color w:val="000000"/>
          <w:szCs w:val="21"/>
        </w:rPr>
        <w:t>（姓名）为我方代理人。代理人根据授权，以我方名义签署、澄清、说明、补正、递交、撤回、修改</w:t>
      </w:r>
      <w:r>
        <w:rPr>
          <w:rFonts w:ascii="Times New Roman" w:hAnsi="Times New Roman"/>
          <w:color w:val="000000"/>
          <w:szCs w:val="21"/>
          <w:u w:val="single"/>
        </w:rPr>
        <w:t xml:space="preserve">           </w:t>
      </w:r>
      <w:r>
        <w:rPr>
          <w:rFonts w:hint="eastAsia" w:ascii="Times New Roman" w:hAnsi="Times New Roman"/>
          <w:color w:val="000000"/>
          <w:szCs w:val="21"/>
        </w:rPr>
        <w:t>（项目名称）投标文件、签订合同和处理有关事宜，其法律后果由我方承担。</w:t>
      </w:r>
    </w:p>
    <w:p w14:paraId="76ADF427">
      <w:pPr>
        <w:spacing w:line="300" w:lineRule="auto"/>
        <w:rPr>
          <w:rFonts w:ascii="Times New Roman" w:hAnsi="Times New Roman"/>
          <w:color w:val="000000"/>
          <w:szCs w:val="21"/>
        </w:rPr>
      </w:pPr>
      <w:r>
        <w:rPr>
          <w:rFonts w:ascii="Times New Roman" w:hAnsi="Times New Roman"/>
          <w:color w:val="000000"/>
          <w:szCs w:val="21"/>
        </w:rPr>
        <w:t xml:space="preserve">    </w:t>
      </w:r>
      <w:r>
        <w:rPr>
          <w:rFonts w:hint="eastAsia" w:ascii="Times New Roman" w:hAnsi="Times New Roman"/>
          <w:color w:val="000000"/>
          <w:szCs w:val="21"/>
        </w:rPr>
        <w:t>委托期限：</w:t>
      </w:r>
      <w:r>
        <w:rPr>
          <w:rFonts w:ascii="Times New Roman" w:hAnsi="Times New Roman"/>
          <w:color w:val="000000"/>
          <w:szCs w:val="21"/>
          <w:u w:val="single"/>
        </w:rPr>
        <w:t xml:space="preserve">             </w:t>
      </w:r>
      <w:r>
        <w:rPr>
          <w:rFonts w:hint="eastAsia" w:ascii="Times New Roman" w:hAnsi="Times New Roman"/>
          <w:color w:val="000000"/>
          <w:szCs w:val="21"/>
        </w:rPr>
        <w:t>。</w:t>
      </w:r>
    </w:p>
    <w:p w14:paraId="236D122D">
      <w:pPr>
        <w:spacing w:line="300" w:lineRule="auto"/>
        <w:ind w:firstLine="480" w:firstLineChars="200"/>
        <w:rPr>
          <w:rFonts w:ascii="Times New Roman" w:hAnsi="Times New Roman"/>
          <w:color w:val="000000"/>
          <w:szCs w:val="21"/>
        </w:rPr>
      </w:pPr>
      <w:r>
        <w:rPr>
          <w:rFonts w:hint="eastAsia" w:ascii="Times New Roman" w:hAnsi="Times New Roman"/>
          <w:color w:val="000000"/>
          <w:szCs w:val="21"/>
        </w:rPr>
        <w:t>代理人无转委托权。</w:t>
      </w:r>
    </w:p>
    <w:p w14:paraId="385D336F">
      <w:pPr>
        <w:topLinePunct/>
        <w:spacing w:line="360" w:lineRule="auto"/>
        <w:ind w:firstLine="480" w:firstLineChars="200"/>
        <w:rPr>
          <w:rFonts w:cs="仿宋"/>
        </w:rPr>
      </w:pPr>
      <w:r>
        <w:rPr>
          <w:rFonts w:hint="eastAsia" w:cs="仿宋"/>
        </w:rPr>
        <w:t>附：（1）法定代表人身份证复印件。</w:t>
      </w:r>
    </w:p>
    <w:p w14:paraId="16B7086E">
      <w:pPr>
        <w:topLinePunct/>
        <w:spacing w:line="360" w:lineRule="auto"/>
        <w:ind w:firstLine="960" w:firstLineChars="400"/>
        <w:rPr>
          <w:rFonts w:hint="eastAsia" w:cs="仿宋"/>
        </w:rPr>
      </w:pPr>
      <w:r>
        <w:rPr>
          <w:rFonts w:hint="eastAsia" w:cs="仿宋"/>
        </w:rPr>
        <w:t>（2）委托代理人身份证复印件。</w:t>
      </w:r>
    </w:p>
    <w:p w14:paraId="6AEA6149">
      <w:pPr>
        <w:topLinePunct/>
        <w:spacing w:line="360" w:lineRule="auto"/>
        <w:ind w:firstLine="960" w:firstLineChars="400"/>
        <w:rPr>
          <w:rFonts w:hint="eastAsia" w:cs="仿宋"/>
        </w:rPr>
      </w:pPr>
      <w:r>
        <w:rPr>
          <w:rFonts w:hint="eastAsia" w:cs="仿宋"/>
        </w:rPr>
        <w:t>（3）委托代理人社保证明。</w:t>
      </w:r>
    </w:p>
    <w:p w14:paraId="7BD5A90D">
      <w:pPr>
        <w:spacing w:line="300" w:lineRule="auto"/>
        <w:rPr>
          <w:rFonts w:ascii="Times New Roman" w:hAnsi="Times New Roman"/>
          <w:color w:val="000000"/>
          <w:szCs w:val="21"/>
        </w:rPr>
      </w:pPr>
    </w:p>
    <w:p w14:paraId="2FDF93D7">
      <w:pPr>
        <w:spacing w:line="300" w:lineRule="auto"/>
        <w:rPr>
          <w:rFonts w:ascii="Times New Roman" w:hAnsi="Times New Roman"/>
          <w:color w:val="000000"/>
          <w:szCs w:val="21"/>
        </w:rPr>
      </w:pPr>
    </w:p>
    <w:p w14:paraId="54D68A54">
      <w:pPr>
        <w:spacing w:line="300" w:lineRule="auto"/>
        <w:rPr>
          <w:rFonts w:ascii="Times New Roman" w:hAnsi="Times New Roman"/>
          <w:color w:val="000000"/>
          <w:szCs w:val="21"/>
        </w:rPr>
      </w:pPr>
      <w:r>
        <w:rPr>
          <w:rFonts w:hint="eastAsia" w:ascii="Times New Roman" w:hAnsi="Times New Roman"/>
          <w:color w:val="000000"/>
          <w:szCs w:val="21"/>
        </w:rPr>
        <w:t>投标人：</w:t>
      </w:r>
      <w:r>
        <w:rPr>
          <w:rFonts w:ascii="Times New Roman" w:hAnsi="Times New Roman"/>
          <w:color w:val="000000"/>
          <w:szCs w:val="21"/>
          <w:u w:val="single"/>
        </w:rPr>
        <w:t xml:space="preserve">                               </w:t>
      </w:r>
      <w:r>
        <w:rPr>
          <w:rFonts w:hint="eastAsia" w:ascii="Times New Roman" w:hAnsi="Times New Roman"/>
          <w:color w:val="000000"/>
          <w:szCs w:val="21"/>
        </w:rPr>
        <w:t>（盖单位章）</w:t>
      </w:r>
    </w:p>
    <w:p w14:paraId="05FB3B0B">
      <w:pPr>
        <w:spacing w:line="300" w:lineRule="auto"/>
        <w:rPr>
          <w:rFonts w:ascii="Times New Roman" w:hAnsi="Times New Roman"/>
          <w:color w:val="000000"/>
          <w:szCs w:val="21"/>
        </w:rPr>
      </w:pPr>
    </w:p>
    <w:p w14:paraId="220BD2F4">
      <w:pPr>
        <w:spacing w:line="300" w:lineRule="auto"/>
        <w:rPr>
          <w:rFonts w:ascii="Times New Roman" w:hAnsi="Times New Roman"/>
          <w:color w:val="000000"/>
          <w:szCs w:val="21"/>
        </w:rPr>
      </w:pPr>
      <w:r>
        <w:rPr>
          <w:rFonts w:hint="eastAsia" w:ascii="Times New Roman" w:hAnsi="Times New Roman"/>
          <w:color w:val="000000"/>
          <w:szCs w:val="21"/>
        </w:rPr>
        <w:t>法定代表人：</w:t>
      </w:r>
      <w:r>
        <w:rPr>
          <w:rFonts w:ascii="Times New Roman" w:hAnsi="Times New Roman"/>
          <w:color w:val="000000"/>
          <w:szCs w:val="21"/>
          <w:u w:val="single"/>
        </w:rPr>
        <w:t xml:space="preserve">                               </w:t>
      </w:r>
      <w:r>
        <w:rPr>
          <w:rFonts w:hint="eastAsia" w:ascii="Times New Roman" w:hAnsi="Times New Roman"/>
          <w:color w:val="000000"/>
          <w:szCs w:val="21"/>
        </w:rPr>
        <w:t>（签字并盖章）</w:t>
      </w:r>
    </w:p>
    <w:p w14:paraId="35937780">
      <w:pPr>
        <w:spacing w:line="300" w:lineRule="auto"/>
        <w:rPr>
          <w:rFonts w:ascii="Times New Roman" w:hAnsi="Times New Roman"/>
          <w:color w:val="000000"/>
          <w:szCs w:val="21"/>
        </w:rPr>
      </w:pPr>
    </w:p>
    <w:p w14:paraId="5D420725">
      <w:pPr>
        <w:spacing w:line="300" w:lineRule="auto"/>
        <w:rPr>
          <w:rFonts w:ascii="Times New Roman" w:hAnsi="Times New Roman"/>
          <w:color w:val="000000"/>
          <w:szCs w:val="21"/>
        </w:rPr>
      </w:pPr>
      <w:r>
        <w:rPr>
          <w:rFonts w:hint="eastAsia" w:ascii="Times New Roman" w:hAnsi="Times New Roman"/>
          <w:color w:val="000000"/>
          <w:szCs w:val="21"/>
        </w:rPr>
        <w:t>身份证号码：</w:t>
      </w:r>
      <w:r>
        <w:rPr>
          <w:rFonts w:ascii="Times New Roman" w:hAnsi="Times New Roman"/>
          <w:color w:val="000000"/>
          <w:szCs w:val="21"/>
          <w:u w:val="single"/>
        </w:rPr>
        <w:t xml:space="preserve">                                     </w:t>
      </w:r>
    </w:p>
    <w:p w14:paraId="122143E9">
      <w:pPr>
        <w:spacing w:line="300" w:lineRule="auto"/>
        <w:rPr>
          <w:rFonts w:ascii="Times New Roman" w:hAnsi="Times New Roman"/>
          <w:color w:val="000000"/>
          <w:szCs w:val="21"/>
        </w:rPr>
      </w:pPr>
    </w:p>
    <w:p w14:paraId="3FCE5865">
      <w:pPr>
        <w:spacing w:line="300" w:lineRule="auto"/>
        <w:rPr>
          <w:rFonts w:ascii="Times New Roman" w:hAnsi="Times New Roman"/>
          <w:color w:val="000000"/>
          <w:szCs w:val="21"/>
        </w:rPr>
      </w:pPr>
      <w:r>
        <w:rPr>
          <w:rFonts w:hint="eastAsia" w:ascii="Times New Roman" w:hAnsi="Times New Roman"/>
          <w:color w:val="000000"/>
          <w:szCs w:val="21"/>
        </w:rPr>
        <w:t>委托代理人：</w:t>
      </w:r>
      <w:r>
        <w:rPr>
          <w:rFonts w:ascii="Times New Roman" w:hAnsi="Times New Roman"/>
          <w:color w:val="000000"/>
          <w:szCs w:val="21"/>
          <w:u w:val="single"/>
        </w:rPr>
        <w:t xml:space="preserve">                                   </w:t>
      </w:r>
      <w:r>
        <w:rPr>
          <w:rFonts w:hint="eastAsia" w:ascii="Times New Roman" w:hAnsi="Times New Roman"/>
          <w:color w:val="000000"/>
          <w:szCs w:val="21"/>
        </w:rPr>
        <w:t>（签字）</w:t>
      </w:r>
      <w:r>
        <w:rPr>
          <w:rFonts w:ascii="Times New Roman" w:hAnsi="Times New Roman"/>
          <w:color w:val="000000"/>
          <w:szCs w:val="21"/>
        </w:rPr>
        <w:t xml:space="preserve"> </w:t>
      </w:r>
    </w:p>
    <w:p w14:paraId="6EB124F3">
      <w:pPr>
        <w:spacing w:line="300" w:lineRule="auto"/>
        <w:rPr>
          <w:rFonts w:ascii="Times New Roman" w:hAnsi="Times New Roman"/>
          <w:color w:val="000000"/>
          <w:szCs w:val="21"/>
        </w:rPr>
      </w:pPr>
    </w:p>
    <w:p w14:paraId="503A550E">
      <w:pPr>
        <w:spacing w:line="300" w:lineRule="auto"/>
        <w:rPr>
          <w:rFonts w:ascii="Times New Roman" w:hAnsi="Times New Roman"/>
          <w:color w:val="000000"/>
          <w:szCs w:val="21"/>
        </w:rPr>
      </w:pPr>
      <w:r>
        <w:rPr>
          <w:rFonts w:hint="eastAsia" w:ascii="Times New Roman" w:hAnsi="Times New Roman"/>
          <w:color w:val="000000"/>
          <w:szCs w:val="21"/>
        </w:rPr>
        <w:t>身份证号码：</w:t>
      </w:r>
      <w:r>
        <w:rPr>
          <w:rFonts w:ascii="Times New Roman" w:hAnsi="Times New Roman"/>
          <w:color w:val="000000"/>
          <w:szCs w:val="21"/>
          <w:u w:val="single"/>
        </w:rPr>
        <w:t xml:space="preserve">                                      </w:t>
      </w:r>
    </w:p>
    <w:p w14:paraId="72DBACC1">
      <w:pPr>
        <w:spacing w:line="300" w:lineRule="auto"/>
        <w:rPr>
          <w:rFonts w:ascii="Times New Roman" w:hAnsi="Times New Roman"/>
          <w:color w:val="000000"/>
          <w:szCs w:val="21"/>
        </w:rPr>
      </w:pPr>
    </w:p>
    <w:p w14:paraId="1C4496E7">
      <w:pPr>
        <w:spacing w:line="300" w:lineRule="auto"/>
        <w:rPr>
          <w:rFonts w:ascii="Times New Roman" w:hAnsi="Times New Roman"/>
          <w:color w:val="000000"/>
          <w:szCs w:val="21"/>
        </w:rPr>
      </w:pPr>
    </w:p>
    <w:p w14:paraId="1A927D93">
      <w:pPr>
        <w:spacing w:line="300" w:lineRule="auto"/>
        <w:ind w:firstLine="2640" w:firstLineChars="1100"/>
        <w:rPr>
          <w:rFonts w:ascii="Times New Roman" w:hAnsi="Times New Roman" w:eastAsia="黑体"/>
          <w:color w:val="000000"/>
          <w:szCs w:val="21"/>
        </w:rPr>
      </w:pPr>
      <w:r>
        <w:rPr>
          <w:rFonts w:ascii="Times New Roman" w:hAnsi="Times New Roman"/>
          <w:color w:val="000000"/>
          <w:szCs w:val="21"/>
          <w:u w:val="single"/>
        </w:rPr>
        <w:t xml:space="preserve">       </w:t>
      </w:r>
      <w:r>
        <w:rPr>
          <w:rFonts w:hint="eastAsia" w:ascii="Times New Roman" w:hAnsi="Times New Roman"/>
          <w:color w:val="000000"/>
          <w:szCs w:val="21"/>
        </w:rPr>
        <w:t>年</w:t>
      </w:r>
      <w:r>
        <w:rPr>
          <w:rFonts w:ascii="Times New Roman" w:hAnsi="Times New Roman"/>
          <w:color w:val="000000"/>
          <w:szCs w:val="21"/>
          <w:u w:val="single"/>
        </w:rPr>
        <w:t xml:space="preserve">       </w:t>
      </w:r>
      <w:r>
        <w:rPr>
          <w:rFonts w:hint="eastAsia" w:ascii="Times New Roman" w:hAnsi="Times New Roman"/>
          <w:color w:val="000000"/>
          <w:szCs w:val="21"/>
        </w:rPr>
        <w:t>月</w:t>
      </w:r>
      <w:r>
        <w:rPr>
          <w:rFonts w:ascii="Times New Roman" w:hAnsi="Times New Roman"/>
          <w:color w:val="000000"/>
          <w:szCs w:val="21"/>
          <w:u w:val="single"/>
        </w:rPr>
        <w:t xml:space="preserve">       </w:t>
      </w:r>
      <w:r>
        <w:rPr>
          <w:rFonts w:hint="eastAsia" w:ascii="Times New Roman" w:hAnsi="Times New Roman"/>
          <w:color w:val="000000"/>
          <w:szCs w:val="21"/>
        </w:rPr>
        <w:t>日</w:t>
      </w:r>
    </w:p>
    <w:p w14:paraId="0A9DEADF">
      <w:pPr>
        <w:spacing w:line="300" w:lineRule="auto"/>
        <w:ind w:left="480" w:hanging="482" w:hangingChars="200"/>
        <w:rPr>
          <w:rFonts w:ascii="Times New Roman" w:hAnsi="Times New Roman" w:eastAsia="楷体_GB2312"/>
          <w:b/>
          <w:color w:val="000000"/>
          <w:lang w:val="zh-CN"/>
        </w:rPr>
      </w:pPr>
    </w:p>
    <w:p w14:paraId="5FE1A5C3">
      <w:pPr>
        <w:spacing w:line="300" w:lineRule="auto"/>
        <w:rPr>
          <w:rFonts w:ascii="Times New Roman" w:hAnsi="Times New Roman" w:eastAsia="黑体"/>
          <w:color w:val="000000"/>
          <w:sz w:val="20"/>
        </w:rPr>
      </w:pPr>
    </w:p>
    <w:p w14:paraId="68AB19DF">
      <w:pPr>
        <w:pStyle w:val="3"/>
        <w:spacing w:before="0" w:after="0" w:line="300" w:lineRule="auto"/>
        <w:jc w:val="center"/>
        <w:rPr>
          <w:rFonts w:hint="eastAsia" w:ascii="Times New Roman" w:hAnsi="Times New Roman"/>
          <w:color w:val="000000"/>
        </w:rPr>
      </w:pPr>
    </w:p>
    <w:p w14:paraId="48B6ACB1">
      <w:pPr>
        <w:pStyle w:val="3"/>
        <w:spacing w:before="0" w:after="0" w:line="300" w:lineRule="auto"/>
        <w:jc w:val="center"/>
        <w:rPr>
          <w:rFonts w:hint="eastAsia" w:ascii="Times New Roman" w:hAnsi="Times New Roman"/>
          <w:color w:val="000000"/>
        </w:rPr>
      </w:pPr>
    </w:p>
    <w:p w14:paraId="0B9AE6F4">
      <w:pPr>
        <w:pStyle w:val="3"/>
        <w:spacing w:before="0" w:after="0" w:line="300" w:lineRule="auto"/>
        <w:jc w:val="center"/>
        <w:rPr>
          <w:rFonts w:hint="eastAsia" w:ascii="Times New Roman" w:hAnsi="Times New Roman"/>
          <w:color w:val="000000"/>
        </w:rPr>
      </w:pPr>
    </w:p>
    <w:p w14:paraId="5F270100">
      <w:pPr>
        <w:pStyle w:val="3"/>
        <w:spacing w:before="0" w:after="0" w:line="300" w:lineRule="auto"/>
        <w:jc w:val="center"/>
        <w:rPr>
          <w:rFonts w:hint="eastAsia" w:ascii="Times New Roman" w:hAnsi="Times New Roman"/>
          <w:color w:val="000000"/>
        </w:rPr>
      </w:pPr>
    </w:p>
    <w:p w14:paraId="6C1C4029">
      <w:pPr>
        <w:rPr>
          <w:rFonts w:hint="eastAsia"/>
        </w:rPr>
      </w:pPr>
    </w:p>
    <w:p w14:paraId="58EA199B">
      <w:pPr>
        <w:spacing w:line="300" w:lineRule="auto"/>
        <w:jc w:val="center"/>
        <w:rPr>
          <w:rFonts w:hint="eastAsia" w:ascii="Times New Roman" w:hAnsi="Times New Roman" w:eastAsia="黑体" w:cs="Times New Roman"/>
          <w:color w:val="000000"/>
          <w:sz w:val="32"/>
          <w:szCs w:val="32"/>
        </w:rPr>
      </w:pPr>
    </w:p>
    <w:p w14:paraId="46448EF5">
      <w:pPr>
        <w:spacing w:line="300" w:lineRule="auto"/>
        <w:jc w:val="center"/>
        <w:rPr>
          <w:rFonts w:hint="eastAsia" w:ascii="Times New Roman" w:hAnsi="Times New Roman" w:eastAsia="黑体" w:cs="Times New Roman"/>
          <w:color w:val="000000"/>
          <w:sz w:val="32"/>
          <w:szCs w:val="32"/>
        </w:rPr>
      </w:pPr>
    </w:p>
    <w:p w14:paraId="2FBB8C92">
      <w:pPr>
        <w:spacing w:line="300" w:lineRule="auto"/>
        <w:jc w:val="center"/>
        <w:rPr>
          <w:rFonts w:hint="eastAsia" w:ascii="Times New Roman" w:hAnsi="Times New Roman" w:eastAsia="黑体" w:cs="Times New Roman"/>
          <w:color w:val="000000"/>
          <w:sz w:val="32"/>
          <w:szCs w:val="32"/>
        </w:rPr>
      </w:pPr>
      <w:bookmarkStart w:id="178" w:name="_Toc22089_WPSOffice_Level1"/>
      <w:bookmarkStart w:id="179" w:name="_Toc20722_WPSOffice_Level1"/>
      <w:r>
        <w:rPr>
          <w:rFonts w:hint="eastAsia" w:ascii="Times New Roman" w:hAnsi="Times New Roman" w:eastAsia="黑体" w:cs="Times New Roman"/>
          <w:color w:val="000000"/>
          <w:sz w:val="32"/>
          <w:szCs w:val="32"/>
        </w:rPr>
        <w:t>4、投标保证金</w:t>
      </w:r>
      <w:bookmarkEnd w:id="178"/>
      <w:bookmarkEnd w:id="179"/>
    </w:p>
    <w:p w14:paraId="068253ED">
      <w:pPr>
        <w:spacing w:line="560" w:lineRule="exact"/>
        <w:ind w:firstLine="480" w:firstLineChars="200"/>
        <w:rPr>
          <w:rFonts w:hint="eastAsia"/>
        </w:rPr>
      </w:pPr>
      <w:r>
        <w:rPr>
          <w:rFonts w:hint="eastAsia"/>
        </w:rPr>
        <w:t>若采用现金或支票，投标人应在此提供交款回单的复印件。</w:t>
      </w:r>
    </w:p>
    <w:p w14:paraId="2C563E24">
      <w:pPr>
        <w:spacing w:line="300" w:lineRule="auto"/>
        <w:jc w:val="center"/>
        <w:rPr>
          <w:rFonts w:hint="eastAsia" w:ascii="Times New Roman" w:hAnsi="Times New Roman" w:eastAsia="黑体" w:cs="Times New Roman"/>
          <w:color w:val="000000"/>
          <w:sz w:val="32"/>
          <w:szCs w:val="32"/>
        </w:rPr>
      </w:pPr>
      <w:bookmarkStart w:id="180" w:name="_Toc506105877"/>
      <w:bookmarkStart w:id="181" w:name="_Toc27730_WPSOffice_Level1"/>
      <w:bookmarkStart w:id="182" w:name="_Toc20492_WPSOffice_Level1"/>
      <w:bookmarkStart w:id="183" w:name="_Toc391556617"/>
      <w:bookmarkStart w:id="184" w:name="_Toc352160852"/>
      <w:bookmarkStart w:id="185" w:name="_Toc508871757"/>
      <w:r>
        <w:rPr>
          <w:rFonts w:hint="eastAsia" w:ascii="Times New Roman" w:hAnsi="Times New Roman" w:eastAsia="黑体" w:cs="Times New Roman"/>
          <w:color w:val="000000"/>
          <w:sz w:val="32"/>
          <w:szCs w:val="32"/>
        </w:rPr>
        <w:t>5、资格审查资料</w:t>
      </w:r>
      <w:bookmarkEnd w:id="180"/>
      <w:bookmarkEnd w:id="181"/>
      <w:bookmarkEnd w:id="182"/>
      <w:bookmarkEnd w:id="183"/>
      <w:bookmarkEnd w:id="184"/>
      <w:bookmarkEnd w:id="185"/>
    </w:p>
    <w:p w14:paraId="6AD4E813">
      <w:pPr>
        <w:spacing w:line="360" w:lineRule="auto"/>
        <w:rPr>
          <w:rFonts w:cs="仿宋"/>
          <w:bCs/>
        </w:rPr>
      </w:pPr>
      <w:bookmarkStart w:id="186" w:name="_Toc337496474"/>
      <w:r>
        <w:rPr>
          <w:rFonts w:hint="eastAsia" w:cs="仿宋"/>
          <w:bCs/>
        </w:rPr>
        <w:t>5.1</w:t>
      </w:r>
      <w:bookmarkEnd w:id="186"/>
      <w:r>
        <w:rPr>
          <w:rFonts w:hint="eastAsia" w:cs="仿宋"/>
          <w:bCs/>
        </w:rPr>
        <w:t>投标人基本情况及证书复印件</w:t>
      </w:r>
    </w:p>
    <w:p w14:paraId="30952055">
      <w:pPr>
        <w:spacing w:line="360" w:lineRule="auto"/>
        <w:jc w:val="center"/>
        <w:rPr>
          <w:rFonts w:cs="仿宋"/>
        </w:rPr>
      </w:pPr>
      <w:r>
        <w:rPr>
          <w:rFonts w:hint="eastAsia" w:cs="仿宋"/>
          <w:b/>
        </w:rPr>
        <w:t>基本情况</w:t>
      </w:r>
    </w:p>
    <w:tbl>
      <w:tblPr>
        <w:tblStyle w:val="46"/>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709"/>
        <w:gridCol w:w="388"/>
        <w:gridCol w:w="333"/>
        <w:gridCol w:w="399"/>
        <w:gridCol w:w="94"/>
        <w:gridCol w:w="829"/>
        <w:gridCol w:w="1147"/>
        <w:gridCol w:w="198"/>
        <w:gridCol w:w="652"/>
        <w:gridCol w:w="1490"/>
      </w:tblGrid>
      <w:tr w14:paraId="6EC8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2791455">
            <w:pPr>
              <w:topLinePunct/>
              <w:spacing w:line="360" w:lineRule="auto"/>
              <w:jc w:val="center"/>
              <w:rPr>
                <w:rFonts w:cs="仿宋"/>
              </w:rPr>
            </w:pPr>
            <w:r>
              <w:rPr>
                <w:rFonts w:hint="eastAsia" w:cs="仿宋"/>
              </w:rPr>
              <w:t>投标人名称</w:t>
            </w:r>
          </w:p>
        </w:tc>
        <w:tc>
          <w:tcPr>
            <w:tcW w:w="7656" w:type="dxa"/>
            <w:gridSpan w:val="11"/>
            <w:tcBorders>
              <w:top w:val="single" w:color="000000" w:sz="4" w:space="0"/>
              <w:left w:val="single" w:color="000000" w:sz="4" w:space="0"/>
              <w:bottom w:val="single" w:color="000000" w:sz="4" w:space="0"/>
              <w:right w:val="single" w:color="000000" w:sz="4" w:space="0"/>
            </w:tcBorders>
            <w:noWrap w:val="0"/>
            <w:vAlign w:val="center"/>
          </w:tcPr>
          <w:p w14:paraId="47928458">
            <w:pPr>
              <w:topLinePunct/>
              <w:spacing w:line="360" w:lineRule="auto"/>
              <w:jc w:val="center"/>
              <w:rPr>
                <w:rFonts w:cs="仿宋"/>
              </w:rPr>
            </w:pPr>
          </w:p>
        </w:tc>
      </w:tr>
      <w:tr w14:paraId="2DAB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80D8B96">
            <w:pPr>
              <w:topLinePunct/>
              <w:spacing w:line="360" w:lineRule="auto"/>
              <w:ind w:left="-120" w:leftChars="-50" w:right="-120" w:rightChars="-50"/>
              <w:jc w:val="center"/>
              <w:rPr>
                <w:rFonts w:cs="仿宋"/>
              </w:rPr>
            </w:pPr>
            <w:r>
              <w:rPr>
                <w:rFonts w:hint="eastAsia" w:cs="仿宋"/>
              </w:rPr>
              <w:t>制造商</w:t>
            </w:r>
          </w:p>
        </w:tc>
        <w:tc>
          <w:tcPr>
            <w:tcW w:w="2847" w:type="dxa"/>
            <w:gridSpan w:val="4"/>
            <w:tcBorders>
              <w:top w:val="single" w:color="000000" w:sz="4" w:space="0"/>
              <w:left w:val="single" w:color="000000" w:sz="4" w:space="0"/>
              <w:bottom w:val="single" w:color="000000" w:sz="4" w:space="0"/>
              <w:right w:val="single" w:color="000000" w:sz="4" w:space="0"/>
            </w:tcBorders>
            <w:noWrap w:val="0"/>
            <w:vAlign w:val="center"/>
          </w:tcPr>
          <w:p w14:paraId="228C58B2">
            <w:pPr>
              <w:topLinePunct/>
              <w:spacing w:line="360" w:lineRule="auto"/>
              <w:jc w:val="center"/>
              <w:rPr>
                <w:rFonts w:cs="仿宋"/>
                <w:b/>
                <w:bCs/>
                <w:kern w:val="44"/>
                <w:sz w:val="32"/>
              </w:rPr>
            </w:pPr>
          </w:p>
        </w:tc>
        <w:tc>
          <w:tcPr>
            <w:tcW w:w="1322" w:type="dxa"/>
            <w:gridSpan w:val="3"/>
            <w:tcBorders>
              <w:top w:val="single" w:color="000000" w:sz="4" w:space="0"/>
              <w:left w:val="single" w:color="000000" w:sz="4" w:space="0"/>
              <w:bottom w:val="single" w:color="000000" w:sz="4" w:space="0"/>
              <w:right w:val="single" w:color="000000" w:sz="4" w:space="0"/>
            </w:tcBorders>
            <w:noWrap w:val="0"/>
            <w:vAlign w:val="center"/>
          </w:tcPr>
          <w:p w14:paraId="671154C2">
            <w:pPr>
              <w:topLinePunct/>
              <w:spacing w:line="360" w:lineRule="auto"/>
              <w:jc w:val="center"/>
              <w:rPr>
                <w:rFonts w:cs="仿宋"/>
              </w:rPr>
            </w:pPr>
            <w:r>
              <w:rPr>
                <w:rFonts w:hint="eastAsia" w:cs="仿宋"/>
              </w:rPr>
              <w:t>所属集团</w:t>
            </w:r>
          </w:p>
        </w:tc>
        <w:tc>
          <w:tcPr>
            <w:tcW w:w="3487" w:type="dxa"/>
            <w:gridSpan w:val="4"/>
            <w:tcBorders>
              <w:top w:val="single" w:color="000000" w:sz="4" w:space="0"/>
              <w:left w:val="single" w:color="000000" w:sz="4" w:space="0"/>
              <w:bottom w:val="single" w:color="000000" w:sz="4" w:space="0"/>
              <w:right w:val="single" w:color="000000" w:sz="4" w:space="0"/>
            </w:tcBorders>
            <w:noWrap w:val="0"/>
            <w:vAlign w:val="center"/>
          </w:tcPr>
          <w:p w14:paraId="09343DD7">
            <w:pPr>
              <w:topLinePunct/>
              <w:spacing w:line="360" w:lineRule="auto"/>
              <w:jc w:val="center"/>
              <w:rPr>
                <w:rFonts w:cs="仿宋"/>
              </w:rPr>
            </w:pPr>
          </w:p>
        </w:tc>
      </w:tr>
      <w:tr w14:paraId="66E0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642C56D">
            <w:pPr>
              <w:topLinePunct/>
              <w:spacing w:line="360" w:lineRule="auto"/>
              <w:jc w:val="center"/>
              <w:rPr>
                <w:rFonts w:cs="仿宋"/>
              </w:rPr>
            </w:pPr>
            <w:r>
              <w:rPr>
                <w:rFonts w:hint="eastAsia" w:cs="仿宋"/>
              </w:rPr>
              <w:t>注册地址</w:t>
            </w:r>
          </w:p>
        </w:tc>
        <w:tc>
          <w:tcPr>
            <w:tcW w:w="4169" w:type="dxa"/>
            <w:gridSpan w:val="7"/>
            <w:tcBorders>
              <w:top w:val="single" w:color="000000" w:sz="4" w:space="0"/>
              <w:left w:val="single" w:color="000000" w:sz="4" w:space="0"/>
              <w:bottom w:val="single" w:color="000000" w:sz="4" w:space="0"/>
              <w:right w:val="single" w:color="000000" w:sz="4" w:space="0"/>
            </w:tcBorders>
            <w:noWrap w:val="0"/>
            <w:vAlign w:val="center"/>
          </w:tcPr>
          <w:p w14:paraId="6C633267">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505EBB9E">
            <w:pPr>
              <w:topLinePunct/>
              <w:spacing w:line="360" w:lineRule="auto"/>
              <w:ind w:left="-120" w:leftChars="-50" w:right="-120" w:rightChars="-50"/>
              <w:jc w:val="center"/>
              <w:rPr>
                <w:rFonts w:cs="仿宋"/>
              </w:rPr>
            </w:pPr>
            <w:r>
              <w:rPr>
                <w:rFonts w:hint="eastAsia" w:cs="仿宋"/>
              </w:rPr>
              <w:t>邮政编码</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7B4AF596">
            <w:pPr>
              <w:topLinePunct/>
              <w:spacing w:line="360" w:lineRule="auto"/>
              <w:jc w:val="center"/>
              <w:rPr>
                <w:rFonts w:cs="仿宋"/>
              </w:rPr>
            </w:pPr>
          </w:p>
        </w:tc>
      </w:tr>
      <w:tr w14:paraId="07B9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75D5E055">
            <w:pPr>
              <w:topLinePunct/>
              <w:adjustRightInd w:val="0"/>
              <w:snapToGrid w:val="0"/>
              <w:spacing w:line="360" w:lineRule="auto"/>
              <w:jc w:val="center"/>
              <w:rPr>
                <w:rFonts w:cs="仿宋"/>
              </w:rPr>
            </w:pPr>
            <w:r>
              <w:rPr>
                <w:rFonts w:hint="eastAsia" w:cs="仿宋"/>
              </w:rPr>
              <w:t>成立或</w:t>
            </w:r>
          </w:p>
          <w:p w14:paraId="4A09820B">
            <w:pPr>
              <w:topLinePunct/>
              <w:adjustRightInd w:val="0"/>
              <w:snapToGrid w:val="0"/>
              <w:spacing w:line="360" w:lineRule="auto"/>
              <w:jc w:val="center"/>
              <w:rPr>
                <w:rFonts w:cs="仿宋"/>
              </w:rPr>
            </w:pPr>
            <w:r>
              <w:rPr>
                <w:rFonts w:hint="eastAsia" w:cs="仿宋"/>
              </w:rPr>
              <w:t>注册时间</w:t>
            </w:r>
          </w:p>
        </w:tc>
        <w:tc>
          <w:tcPr>
            <w:tcW w:w="4169" w:type="dxa"/>
            <w:gridSpan w:val="7"/>
            <w:tcBorders>
              <w:top w:val="single" w:color="000000" w:sz="4" w:space="0"/>
              <w:left w:val="single" w:color="000000" w:sz="4" w:space="0"/>
              <w:bottom w:val="single" w:color="000000" w:sz="4" w:space="0"/>
              <w:right w:val="single" w:color="000000" w:sz="4" w:space="0"/>
            </w:tcBorders>
            <w:noWrap w:val="0"/>
            <w:vAlign w:val="center"/>
          </w:tcPr>
          <w:p w14:paraId="254B7B4E">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3AF96892">
            <w:pPr>
              <w:topLinePunct/>
              <w:spacing w:line="360" w:lineRule="auto"/>
              <w:ind w:left="-120" w:leftChars="-50" w:right="-120" w:rightChars="-50"/>
              <w:jc w:val="center"/>
              <w:rPr>
                <w:rFonts w:cs="仿宋"/>
              </w:rPr>
            </w:pPr>
            <w:r>
              <w:rPr>
                <w:rFonts w:hint="eastAsia" w:cs="仿宋"/>
              </w:rPr>
              <w:t>注册资金</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4BC880D6">
            <w:pPr>
              <w:topLinePunct/>
              <w:spacing w:line="360" w:lineRule="auto"/>
              <w:jc w:val="center"/>
              <w:rPr>
                <w:rFonts w:cs="仿宋"/>
              </w:rPr>
            </w:pPr>
          </w:p>
        </w:tc>
      </w:tr>
      <w:tr w14:paraId="4184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32CE7AA">
            <w:pPr>
              <w:topLinePunct/>
              <w:spacing w:line="360" w:lineRule="auto"/>
              <w:jc w:val="center"/>
              <w:rPr>
                <w:rFonts w:cs="仿宋"/>
              </w:rPr>
            </w:pPr>
            <w:r>
              <w:rPr>
                <w:rFonts w:hint="eastAsia" w:cs="仿宋"/>
              </w:rPr>
              <w:t>主要负责人</w:t>
            </w:r>
          </w:p>
        </w:tc>
        <w:tc>
          <w:tcPr>
            <w:tcW w:w="4169" w:type="dxa"/>
            <w:gridSpan w:val="7"/>
            <w:tcBorders>
              <w:top w:val="single" w:color="000000" w:sz="4" w:space="0"/>
              <w:left w:val="single" w:color="000000" w:sz="4" w:space="0"/>
              <w:bottom w:val="single" w:color="000000" w:sz="4" w:space="0"/>
              <w:right w:val="single" w:color="000000" w:sz="4" w:space="0"/>
            </w:tcBorders>
            <w:noWrap w:val="0"/>
            <w:vAlign w:val="center"/>
          </w:tcPr>
          <w:p w14:paraId="154C4063">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3DDE840F">
            <w:pPr>
              <w:topLinePunct/>
              <w:spacing w:line="360" w:lineRule="auto"/>
              <w:ind w:left="-120" w:leftChars="-50" w:right="-120" w:rightChars="-50"/>
              <w:jc w:val="center"/>
              <w:rPr>
                <w:rFonts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604E6681">
            <w:pPr>
              <w:topLinePunct/>
              <w:spacing w:line="360" w:lineRule="auto"/>
              <w:jc w:val="center"/>
              <w:rPr>
                <w:rFonts w:cs="仿宋"/>
              </w:rPr>
            </w:pPr>
          </w:p>
        </w:tc>
      </w:tr>
      <w:tr w14:paraId="20D6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16DBD4F">
            <w:pPr>
              <w:topLinePunct/>
              <w:spacing w:line="360" w:lineRule="auto"/>
              <w:jc w:val="center"/>
              <w:rPr>
                <w:rFonts w:cs="仿宋"/>
              </w:rPr>
            </w:pPr>
            <w:r>
              <w:rPr>
                <w:rFonts w:hint="eastAsia" w:cs="仿宋"/>
              </w:rPr>
              <w:t>联系方式</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53B8647">
            <w:pPr>
              <w:topLinePunct/>
              <w:spacing w:line="360" w:lineRule="auto"/>
              <w:jc w:val="center"/>
              <w:rPr>
                <w:rFonts w:cs="仿宋"/>
              </w:rPr>
            </w:pPr>
            <w:r>
              <w:rPr>
                <w:rFonts w:hint="eastAsia" w:cs="仿宋"/>
              </w:rPr>
              <w:t>联系人</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55AB48C8">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06BDBACD">
            <w:pPr>
              <w:topLinePunct/>
              <w:spacing w:line="360" w:lineRule="auto"/>
              <w:ind w:left="-120" w:leftChars="-50" w:right="-120" w:rightChars="-50"/>
              <w:jc w:val="center"/>
              <w:rPr>
                <w:rFonts w:cs="仿宋"/>
              </w:rPr>
            </w:pPr>
            <w:r>
              <w:rPr>
                <w:rFonts w:hint="eastAsia" w:cs="仿宋"/>
              </w:rPr>
              <w:t>电话</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09B10812">
            <w:pPr>
              <w:topLinePunct/>
              <w:spacing w:line="360" w:lineRule="auto"/>
              <w:jc w:val="center"/>
              <w:rPr>
                <w:rFonts w:cs="仿宋"/>
              </w:rPr>
            </w:pPr>
          </w:p>
        </w:tc>
      </w:tr>
      <w:tr w14:paraId="3B49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D36B17">
            <w:pPr>
              <w:spacing w:line="360" w:lineRule="auto"/>
              <w:rPr>
                <w:rFonts w:cs="仿宋"/>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89ADFEB">
            <w:pPr>
              <w:topLinePunct/>
              <w:spacing w:line="360" w:lineRule="auto"/>
              <w:jc w:val="center"/>
              <w:rPr>
                <w:rFonts w:cs="仿宋"/>
              </w:rPr>
            </w:pPr>
            <w:r>
              <w:rPr>
                <w:rFonts w:hint="eastAsia" w:cs="仿宋"/>
              </w:rPr>
              <w:t>传  真</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22BB5046">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4B8B5795">
            <w:pPr>
              <w:topLinePunct/>
              <w:spacing w:line="360" w:lineRule="auto"/>
              <w:ind w:left="-120" w:leftChars="-50" w:right="-120" w:rightChars="-50"/>
              <w:jc w:val="center"/>
              <w:rPr>
                <w:rFonts w:cs="仿宋"/>
              </w:rPr>
            </w:pPr>
            <w:r>
              <w:rPr>
                <w:rFonts w:hint="eastAsia" w:cs="仿宋"/>
              </w:rPr>
              <w:t>电子邮箱</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1529B8C8">
            <w:pPr>
              <w:topLinePunct/>
              <w:spacing w:line="360" w:lineRule="auto"/>
              <w:jc w:val="center"/>
              <w:rPr>
                <w:rFonts w:cs="仿宋"/>
              </w:rPr>
            </w:pPr>
          </w:p>
        </w:tc>
      </w:tr>
      <w:tr w14:paraId="70C5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2BCD5E">
            <w:pPr>
              <w:topLinePunct/>
              <w:spacing w:line="360" w:lineRule="auto"/>
              <w:jc w:val="center"/>
              <w:rPr>
                <w:rFonts w:cs="仿宋"/>
              </w:rPr>
            </w:pPr>
            <w:r>
              <w:rPr>
                <w:rFonts w:hint="eastAsia" w:cs="仿宋"/>
              </w:rPr>
              <w:t>制造企业</w:t>
            </w:r>
          </w:p>
          <w:p w14:paraId="005E7AAB">
            <w:pPr>
              <w:topLinePunct/>
              <w:spacing w:line="360" w:lineRule="auto"/>
              <w:jc w:val="center"/>
              <w:rPr>
                <w:rFonts w:cs="仿宋"/>
              </w:rPr>
            </w:pPr>
            <w:r>
              <w:rPr>
                <w:rFonts w:hint="eastAsia" w:cs="仿宋"/>
              </w:rPr>
              <w:t>基本情况</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54F98FF2">
            <w:pPr>
              <w:topLinePunct/>
              <w:spacing w:line="360" w:lineRule="auto"/>
              <w:ind w:left="-120" w:leftChars="-50" w:right="-120" w:rightChars="-50"/>
              <w:jc w:val="center"/>
              <w:rPr>
                <w:rFonts w:cs="仿宋"/>
              </w:rPr>
            </w:pPr>
            <w:r>
              <w:rPr>
                <w:rFonts w:hint="eastAsia" w:cs="仿宋"/>
              </w:rPr>
              <w:t>名称</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058D916F">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238E7836">
            <w:pPr>
              <w:topLinePunct/>
              <w:spacing w:line="360" w:lineRule="auto"/>
              <w:ind w:left="-120" w:leftChars="-50" w:right="-120" w:rightChars="-50"/>
              <w:jc w:val="center"/>
              <w:rPr>
                <w:rFonts w:cs="仿宋"/>
              </w:rPr>
            </w:pPr>
            <w:r>
              <w:rPr>
                <w:rFonts w:hint="eastAsia" w:cs="仿宋"/>
              </w:rPr>
              <w:t>地址</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1A4C4465">
            <w:pPr>
              <w:topLinePunct/>
              <w:spacing w:line="360" w:lineRule="auto"/>
              <w:jc w:val="center"/>
              <w:rPr>
                <w:rFonts w:cs="仿宋"/>
              </w:rPr>
            </w:pPr>
          </w:p>
        </w:tc>
      </w:tr>
      <w:tr w14:paraId="698E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ED9D25">
            <w:pPr>
              <w:spacing w:line="360" w:lineRule="auto"/>
              <w:rPr>
                <w:rFonts w:cs="仿宋"/>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9EC701D">
            <w:pPr>
              <w:topLinePunct/>
              <w:adjustRightInd w:val="0"/>
              <w:snapToGrid w:val="0"/>
              <w:spacing w:line="360" w:lineRule="auto"/>
              <w:jc w:val="center"/>
              <w:rPr>
                <w:rFonts w:cs="仿宋"/>
              </w:rPr>
            </w:pPr>
            <w:r>
              <w:rPr>
                <w:rFonts w:hint="eastAsia" w:cs="仿宋"/>
              </w:rPr>
              <w:t>年生产能力</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7A3A4534">
            <w:pPr>
              <w:topLinePunct/>
              <w:spacing w:line="360" w:lineRule="auto"/>
              <w:jc w:val="center"/>
              <w:rPr>
                <w:rFonts w:cs="仿宋"/>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2A79E125">
            <w:pPr>
              <w:topLinePunct/>
              <w:spacing w:line="360" w:lineRule="auto"/>
              <w:ind w:left="-120" w:leftChars="-50" w:right="-120" w:rightChars="-50"/>
              <w:jc w:val="center"/>
              <w:rPr>
                <w:rFonts w:cs="仿宋"/>
              </w:rPr>
            </w:pPr>
            <w:r>
              <w:rPr>
                <w:rFonts w:hint="eastAsia" w:cs="仿宋"/>
              </w:rPr>
              <w:t>职工人数</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601E989B">
            <w:pPr>
              <w:topLinePunct/>
              <w:spacing w:line="360" w:lineRule="auto"/>
              <w:jc w:val="center"/>
              <w:rPr>
                <w:rFonts w:cs="仿宋"/>
              </w:rPr>
            </w:pPr>
          </w:p>
        </w:tc>
      </w:tr>
      <w:tr w14:paraId="14A1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6933B2">
            <w:pPr>
              <w:spacing w:line="360" w:lineRule="auto"/>
              <w:rPr>
                <w:rFonts w:cs="仿宋"/>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1F597ECE">
            <w:pPr>
              <w:topLinePunct/>
              <w:spacing w:line="360" w:lineRule="auto"/>
              <w:jc w:val="center"/>
              <w:rPr>
                <w:rFonts w:cs="仿宋"/>
              </w:rPr>
            </w:pPr>
            <w:r>
              <w:rPr>
                <w:rFonts w:hint="eastAsia" w:cs="仿宋"/>
              </w:rPr>
              <w:t>需外购的</w:t>
            </w:r>
          </w:p>
          <w:p w14:paraId="37E3BAD0">
            <w:pPr>
              <w:topLinePunct/>
              <w:spacing w:line="360" w:lineRule="auto"/>
              <w:ind w:left="-122" w:leftChars="-51" w:right="-146" w:rightChars="-61"/>
              <w:jc w:val="center"/>
              <w:rPr>
                <w:rFonts w:cs="仿宋"/>
              </w:rPr>
            </w:pPr>
            <w:r>
              <w:rPr>
                <w:rFonts w:hint="eastAsia" w:cs="仿宋"/>
              </w:rPr>
              <w:t>主要零部件</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FD1C6D7">
            <w:pPr>
              <w:topLinePunct/>
              <w:spacing w:line="360" w:lineRule="auto"/>
              <w:jc w:val="center"/>
              <w:rPr>
                <w:rFonts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7635B6E6">
            <w:pPr>
              <w:topLinePunct/>
              <w:spacing w:line="360" w:lineRule="auto"/>
              <w:jc w:val="center"/>
              <w:rPr>
                <w:rFonts w:cs="仿宋"/>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3C4DDD54">
            <w:pPr>
              <w:topLinePunct/>
              <w:spacing w:line="360" w:lineRule="auto"/>
              <w:jc w:val="center"/>
              <w:rPr>
                <w:rFonts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7BE11E79">
            <w:pPr>
              <w:topLinePunct/>
              <w:spacing w:line="360" w:lineRule="auto"/>
              <w:jc w:val="center"/>
              <w:rPr>
                <w:rFonts w:cs="仿宋"/>
              </w:rPr>
            </w:pPr>
          </w:p>
        </w:tc>
      </w:tr>
      <w:tr w14:paraId="35F5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F6ACAC">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8FFE76">
            <w:pPr>
              <w:spacing w:line="360" w:lineRule="auto"/>
              <w:rPr>
                <w:rFonts w:cs="仿宋"/>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C1B3C11">
            <w:pPr>
              <w:topLinePunct/>
              <w:spacing w:line="360" w:lineRule="auto"/>
              <w:jc w:val="center"/>
              <w:rPr>
                <w:rFonts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67936E2D">
            <w:pPr>
              <w:topLinePunct/>
              <w:spacing w:line="360" w:lineRule="auto"/>
              <w:jc w:val="center"/>
              <w:rPr>
                <w:rFonts w:cs="仿宋"/>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1E51F645">
            <w:pPr>
              <w:topLinePunct/>
              <w:spacing w:line="360" w:lineRule="auto"/>
              <w:jc w:val="center"/>
              <w:rPr>
                <w:rFonts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7AC20DD2">
            <w:pPr>
              <w:topLinePunct/>
              <w:spacing w:line="360" w:lineRule="auto"/>
              <w:jc w:val="center"/>
              <w:rPr>
                <w:rFonts w:cs="仿宋"/>
              </w:rPr>
            </w:pPr>
          </w:p>
        </w:tc>
      </w:tr>
      <w:tr w14:paraId="5C4F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972C2D">
            <w:pPr>
              <w:spacing w:line="360" w:lineRule="auto"/>
              <w:rPr>
                <w:rFonts w:cs="仿宋"/>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92CB55">
            <w:pPr>
              <w:topLinePunct/>
              <w:spacing w:line="360" w:lineRule="auto"/>
              <w:jc w:val="center"/>
              <w:rPr>
                <w:rFonts w:cs="仿宋"/>
              </w:rPr>
            </w:pPr>
            <w:r>
              <w:rPr>
                <w:rFonts w:hint="eastAsia" w:cs="仿宋"/>
              </w:rPr>
              <w:t>需外购的</w:t>
            </w:r>
          </w:p>
          <w:p w14:paraId="2FBF96A6">
            <w:pPr>
              <w:topLinePunct/>
              <w:spacing w:line="360" w:lineRule="auto"/>
              <w:jc w:val="center"/>
              <w:rPr>
                <w:rFonts w:cs="仿宋"/>
              </w:rPr>
            </w:pPr>
            <w:r>
              <w:rPr>
                <w:rFonts w:hint="eastAsia" w:cs="仿宋"/>
              </w:rPr>
              <w:t>易损件</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2D5D1E7">
            <w:pPr>
              <w:topLinePunct/>
              <w:spacing w:line="360" w:lineRule="auto"/>
              <w:jc w:val="center"/>
              <w:rPr>
                <w:rFonts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5CE21376">
            <w:pPr>
              <w:topLinePunct/>
              <w:spacing w:line="360" w:lineRule="auto"/>
              <w:jc w:val="center"/>
              <w:rPr>
                <w:rFonts w:cs="仿宋"/>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737A5B2C">
            <w:pPr>
              <w:topLinePunct/>
              <w:spacing w:line="360" w:lineRule="auto"/>
              <w:jc w:val="center"/>
              <w:rPr>
                <w:rFonts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6326AE84">
            <w:pPr>
              <w:topLinePunct/>
              <w:spacing w:line="360" w:lineRule="auto"/>
              <w:jc w:val="center"/>
              <w:rPr>
                <w:rFonts w:cs="仿宋"/>
              </w:rPr>
            </w:pPr>
          </w:p>
        </w:tc>
      </w:tr>
      <w:tr w14:paraId="62EF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F40C1">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EAFCEB">
            <w:pPr>
              <w:spacing w:line="360" w:lineRule="auto"/>
              <w:rPr>
                <w:rFonts w:cs="仿宋"/>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61CBE975">
            <w:pPr>
              <w:topLinePunct/>
              <w:spacing w:line="360" w:lineRule="auto"/>
              <w:jc w:val="center"/>
              <w:rPr>
                <w:rFonts w:cs="仿宋"/>
              </w:rPr>
            </w:pPr>
            <w:r>
              <w:rPr>
                <w:rFonts w:hint="eastAsia" w:cs="仿宋"/>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4E6FA670">
            <w:pPr>
              <w:topLinePunct/>
              <w:spacing w:line="360" w:lineRule="auto"/>
              <w:jc w:val="center"/>
              <w:rPr>
                <w:rFonts w:cs="仿宋"/>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39437718">
            <w:pPr>
              <w:topLinePunct/>
              <w:spacing w:line="360" w:lineRule="auto"/>
              <w:jc w:val="center"/>
              <w:rPr>
                <w:rFonts w:cs="仿宋"/>
              </w:rPr>
            </w:pPr>
            <w:r>
              <w:rPr>
                <w:rFonts w:hint="eastAsia" w:cs="仿宋"/>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4BC8141C">
            <w:pPr>
              <w:topLinePunct/>
              <w:spacing w:line="360" w:lineRule="auto"/>
              <w:jc w:val="center"/>
              <w:rPr>
                <w:rFonts w:cs="仿宋"/>
              </w:rPr>
            </w:pPr>
          </w:p>
        </w:tc>
      </w:tr>
      <w:tr w14:paraId="6A18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9255DB">
            <w:pPr>
              <w:spacing w:line="360" w:lineRule="auto"/>
              <w:rPr>
                <w:rFonts w:cs="仿宋"/>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61314194">
            <w:pPr>
              <w:topLinePunct/>
              <w:spacing w:line="360" w:lineRule="auto"/>
              <w:jc w:val="center"/>
              <w:rPr>
                <w:rFonts w:cs="仿宋"/>
              </w:rPr>
            </w:pPr>
            <w:r>
              <w:rPr>
                <w:rFonts w:hint="eastAsia" w:cs="仿宋"/>
              </w:rPr>
              <w:t>近3年</w:t>
            </w:r>
          </w:p>
          <w:p w14:paraId="10C4C7A1">
            <w:pPr>
              <w:topLinePunct/>
              <w:spacing w:line="360" w:lineRule="auto"/>
              <w:jc w:val="center"/>
              <w:rPr>
                <w:rFonts w:cs="仿宋"/>
              </w:rPr>
            </w:pPr>
            <w:r>
              <w:rPr>
                <w:rFonts w:hint="eastAsia" w:cs="仿宋"/>
              </w:rPr>
              <w:t>营业额</w:t>
            </w: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05F536C2">
            <w:pPr>
              <w:topLinePunct/>
              <w:spacing w:line="360" w:lineRule="auto"/>
              <w:jc w:val="center"/>
              <w:rPr>
                <w:rFonts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72568238">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0CFD6330">
            <w:pPr>
              <w:topLinePunct/>
              <w:spacing w:line="360" w:lineRule="auto"/>
              <w:jc w:val="center"/>
              <w:rPr>
                <w:rFonts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637E138F">
            <w:pPr>
              <w:topLinePunct/>
              <w:spacing w:line="360" w:lineRule="auto"/>
              <w:jc w:val="center"/>
              <w:rPr>
                <w:rFonts w:cs="仿宋"/>
              </w:rPr>
            </w:pPr>
          </w:p>
        </w:tc>
      </w:tr>
      <w:tr w14:paraId="61C1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AD841">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2B6650">
            <w:pPr>
              <w:spacing w:line="360" w:lineRule="auto"/>
              <w:rPr>
                <w:rFonts w:cs="仿宋"/>
              </w:rPr>
            </w:pP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2CAFFA98">
            <w:pPr>
              <w:topLinePunct/>
              <w:spacing w:line="360" w:lineRule="auto"/>
              <w:jc w:val="center"/>
              <w:rPr>
                <w:rFonts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109DE6CF">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29D205B2">
            <w:pPr>
              <w:topLinePunct/>
              <w:spacing w:line="360" w:lineRule="auto"/>
              <w:jc w:val="center"/>
              <w:rPr>
                <w:rFonts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4CC364A0">
            <w:pPr>
              <w:topLinePunct/>
              <w:spacing w:line="360" w:lineRule="auto"/>
              <w:jc w:val="center"/>
              <w:rPr>
                <w:rFonts w:cs="仿宋"/>
              </w:rPr>
            </w:pPr>
          </w:p>
        </w:tc>
      </w:tr>
      <w:tr w14:paraId="12AD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348500">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EA716">
            <w:pPr>
              <w:spacing w:line="360" w:lineRule="auto"/>
              <w:rPr>
                <w:rFonts w:cs="仿宋"/>
              </w:rPr>
            </w:pP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48CD5A44">
            <w:pPr>
              <w:topLinePunct/>
              <w:spacing w:line="360" w:lineRule="auto"/>
              <w:jc w:val="center"/>
              <w:rPr>
                <w:rFonts w:cs="仿宋"/>
              </w:rPr>
            </w:pPr>
            <w:r>
              <w:rPr>
                <w:rFonts w:hint="eastAsia" w:cs="仿宋"/>
              </w:rPr>
              <w:t>年份</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66970BB8">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0D138466">
            <w:pPr>
              <w:topLinePunct/>
              <w:spacing w:line="360" w:lineRule="auto"/>
              <w:jc w:val="center"/>
              <w:rPr>
                <w:rFonts w:cs="仿宋"/>
              </w:rPr>
            </w:pPr>
            <w:r>
              <w:rPr>
                <w:rFonts w:hint="eastAsia" w:cs="仿宋"/>
              </w:rPr>
              <w:t>金额</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53D49AED">
            <w:pPr>
              <w:topLinePunct/>
              <w:spacing w:line="360" w:lineRule="auto"/>
              <w:jc w:val="center"/>
              <w:rPr>
                <w:rFonts w:cs="仿宋"/>
              </w:rPr>
            </w:pPr>
          </w:p>
        </w:tc>
      </w:tr>
      <w:tr w14:paraId="3848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3E4F5">
            <w:pPr>
              <w:spacing w:line="360" w:lineRule="auto"/>
              <w:rPr>
                <w:rFonts w:cs="仿宋"/>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D0C91D">
            <w:pPr>
              <w:topLinePunct/>
              <w:adjustRightInd w:val="0"/>
              <w:snapToGrid w:val="0"/>
              <w:spacing w:line="360" w:lineRule="auto"/>
              <w:ind w:left="-120" w:leftChars="-50" w:right="-120" w:rightChars="-50"/>
              <w:jc w:val="center"/>
              <w:rPr>
                <w:rFonts w:cs="仿宋"/>
              </w:rPr>
            </w:pPr>
            <w:r>
              <w:rPr>
                <w:rFonts w:hint="eastAsia" w:cs="仿宋"/>
              </w:rPr>
              <w:t>近期资产</w:t>
            </w:r>
          </w:p>
          <w:p w14:paraId="5D6FB18A">
            <w:pPr>
              <w:topLinePunct/>
              <w:adjustRightInd w:val="0"/>
              <w:snapToGrid w:val="0"/>
              <w:spacing w:line="360" w:lineRule="auto"/>
              <w:jc w:val="center"/>
              <w:rPr>
                <w:rFonts w:cs="仿宋"/>
              </w:rPr>
            </w:pPr>
            <w:r>
              <w:rPr>
                <w:rFonts w:hint="eastAsia" w:cs="仿宋"/>
              </w:rPr>
              <w:t>负债表</w:t>
            </w:r>
          </w:p>
          <w:p w14:paraId="56B7698A">
            <w:pPr>
              <w:topLinePunct/>
              <w:adjustRightInd w:val="0"/>
              <w:snapToGrid w:val="0"/>
              <w:spacing w:line="360" w:lineRule="auto"/>
              <w:ind w:right="-146" w:rightChars="-61"/>
              <w:jc w:val="center"/>
              <w:rPr>
                <w:rFonts w:cs="仿宋"/>
              </w:rPr>
            </w:pPr>
            <w:r>
              <w:rPr>
                <w:rFonts w:hint="eastAsia" w:cs="仿宋"/>
              </w:rPr>
              <w:t>到年月日止</w:t>
            </w: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70A9A631">
            <w:pPr>
              <w:topLinePunct/>
              <w:spacing w:line="360" w:lineRule="auto"/>
              <w:ind w:left="-120" w:leftChars="-50" w:right="-120" w:rightChars="-50"/>
              <w:jc w:val="center"/>
              <w:rPr>
                <w:rFonts w:cs="仿宋"/>
              </w:rPr>
            </w:pPr>
            <w:r>
              <w:rPr>
                <w:rFonts w:hint="eastAsia" w:cs="仿宋"/>
              </w:rPr>
              <w:t>固定资产</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76404055">
            <w:pPr>
              <w:topLinePunct/>
              <w:spacing w:line="360" w:lineRule="auto"/>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6550C12D">
            <w:pPr>
              <w:topLinePunct/>
              <w:spacing w:line="360" w:lineRule="auto"/>
              <w:ind w:left="-120" w:leftChars="-50" w:right="-120" w:rightChars="-50"/>
              <w:jc w:val="center"/>
              <w:rPr>
                <w:rFonts w:cs="仿宋"/>
              </w:rPr>
            </w:pPr>
            <w:r>
              <w:rPr>
                <w:rFonts w:hint="eastAsia" w:cs="仿宋"/>
              </w:rPr>
              <w:t>流动资产</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6452967A">
            <w:pPr>
              <w:topLinePunct/>
              <w:spacing w:line="360" w:lineRule="auto"/>
              <w:ind w:left="-120" w:leftChars="-50" w:right="-120" w:rightChars="-50"/>
              <w:jc w:val="center"/>
              <w:rPr>
                <w:rFonts w:cs="仿宋"/>
              </w:rPr>
            </w:pPr>
          </w:p>
        </w:tc>
      </w:tr>
      <w:tr w14:paraId="092E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75DDB7">
            <w:pPr>
              <w:spacing w:line="360" w:lineRule="auto"/>
              <w:rPr>
                <w:rFonts w:cs="仿宋"/>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49ED58">
            <w:pPr>
              <w:spacing w:line="360" w:lineRule="auto"/>
              <w:rPr>
                <w:rFonts w:cs="仿宋"/>
              </w:rPr>
            </w:pP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2A03BA1D">
            <w:pPr>
              <w:topLinePunct/>
              <w:spacing w:line="360" w:lineRule="auto"/>
              <w:ind w:left="-120" w:leftChars="-50" w:right="-120" w:rightChars="-50"/>
              <w:jc w:val="center"/>
              <w:rPr>
                <w:rFonts w:cs="仿宋"/>
              </w:rPr>
            </w:pPr>
            <w:r>
              <w:rPr>
                <w:rFonts w:hint="eastAsia" w:cs="仿宋"/>
              </w:rPr>
              <w:t>长期负债</w:t>
            </w:r>
          </w:p>
        </w:tc>
        <w:tc>
          <w:tcPr>
            <w:tcW w:w="732" w:type="dxa"/>
            <w:gridSpan w:val="2"/>
            <w:tcBorders>
              <w:top w:val="single" w:color="000000" w:sz="4" w:space="0"/>
              <w:left w:val="single" w:color="000000" w:sz="4" w:space="0"/>
              <w:bottom w:val="single" w:color="000000" w:sz="4" w:space="0"/>
              <w:right w:val="single" w:color="000000" w:sz="4" w:space="0"/>
            </w:tcBorders>
            <w:noWrap w:val="0"/>
            <w:vAlign w:val="center"/>
          </w:tcPr>
          <w:p w14:paraId="28D9F03B">
            <w:pPr>
              <w:topLinePunct/>
              <w:spacing w:line="360" w:lineRule="auto"/>
              <w:jc w:val="center"/>
              <w:rPr>
                <w:rFonts w:cs="仿宋"/>
              </w:rPr>
            </w:pP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14:paraId="40C8A162">
            <w:pPr>
              <w:topLinePunct/>
              <w:spacing w:line="360" w:lineRule="auto"/>
              <w:ind w:left="-120" w:leftChars="-50" w:right="-120" w:rightChars="-50"/>
              <w:jc w:val="center"/>
              <w:rPr>
                <w:rFonts w:cs="仿宋"/>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37253FFE">
            <w:pPr>
              <w:topLinePunct/>
              <w:spacing w:line="360" w:lineRule="auto"/>
              <w:ind w:left="-190" w:leftChars="-79" w:right="-122" w:rightChars="-51"/>
              <w:jc w:val="center"/>
              <w:rPr>
                <w:rFonts w:cs="仿宋"/>
              </w:rPr>
            </w:pPr>
            <w:r>
              <w:rPr>
                <w:rFonts w:hint="eastAsia" w:cs="仿宋"/>
              </w:rPr>
              <w:t>流动负债</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513A64F3">
            <w:pPr>
              <w:topLinePunct/>
              <w:spacing w:line="360" w:lineRule="auto"/>
              <w:ind w:left="-120" w:leftChars="-50" w:right="-120" w:rightChars="-50"/>
              <w:jc w:val="center"/>
              <w:rPr>
                <w:rFonts w:cs="仿宋"/>
              </w:rPr>
            </w:pPr>
          </w:p>
        </w:tc>
        <w:tc>
          <w:tcPr>
            <w:tcW w:w="1490" w:type="dxa"/>
            <w:tcBorders>
              <w:top w:val="single" w:color="000000" w:sz="4" w:space="0"/>
              <w:left w:val="single" w:color="000000" w:sz="4" w:space="0"/>
              <w:bottom w:val="single" w:color="000000" w:sz="4" w:space="0"/>
              <w:right w:val="single" w:color="000000" w:sz="4" w:space="0"/>
            </w:tcBorders>
            <w:noWrap w:val="0"/>
            <w:vAlign w:val="center"/>
          </w:tcPr>
          <w:p w14:paraId="60E503A9">
            <w:pPr>
              <w:topLinePunct/>
              <w:spacing w:line="360" w:lineRule="auto"/>
              <w:jc w:val="center"/>
              <w:rPr>
                <w:rFonts w:cs="仿宋"/>
              </w:rPr>
            </w:pPr>
          </w:p>
        </w:tc>
      </w:tr>
      <w:tr w14:paraId="3F5C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B20229">
            <w:pPr>
              <w:spacing w:line="360" w:lineRule="auto"/>
              <w:rPr>
                <w:rFonts w:cs="仿宋"/>
              </w:rPr>
            </w:pPr>
          </w:p>
        </w:tc>
        <w:tc>
          <w:tcPr>
            <w:tcW w:w="7656" w:type="dxa"/>
            <w:gridSpan w:val="11"/>
            <w:tcBorders>
              <w:top w:val="single" w:color="000000" w:sz="4" w:space="0"/>
              <w:left w:val="single" w:color="000000" w:sz="4" w:space="0"/>
              <w:bottom w:val="single" w:color="000000" w:sz="4" w:space="0"/>
              <w:right w:val="single" w:color="000000" w:sz="4" w:space="0"/>
            </w:tcBorders>
            <w:noWrap w:val="0"/>
            <w:vAlign w:val="center"/>
          </w:tcPr>
          <w:p w14:paraId="17BCA4E3">
            <w:pPr>
              <w:topLinePunct/>
              <w:spacing w:line="360" w:lineRule="auto"/>
              <w:rPr>
                <w:rFonts w:cs="仿宋"/>
              </w:rPr>
            </w:pPr>
            <w:r>
              <w:rPr>
                <w:rFonts w:hint="eastAsia" w:cs="仿宋"/>
              </w:rPr>
              <w:t>经营范围：</w:t>
            </w:r>
          </w:p>
        </w:tc>
      </w:tr>
    </w:tbl>
    <w:p w14:paraId="165D5165">
      <w:pPr>
        <w:topLinePunct/>
        <w:spacing w:line="360" w:lineRule="auto"/>
        <w:ind w:firstLine="480" w:firstLineChars="200"/>
        <w:rPr>
          <w:rFonts w:cs="仿宋"/>
        </w:rPr>
      </w:pPr>
      <w:r>
        <w:rPr>
          <w:rFonts w:hint="eastAsia" w:cs="仿宋"/>
        </w:rPr>
        <w:t>注：本表可</w:t>
      </w:r>
      <w:r>
        <w:rPr>
          <w:rFonts w:hint="eastAsia" w:cs="仿宋"/>
          <w:lang w:val="en-US" w:eastAsia="zh-CN"/>
        </w:rPr>
        <w:t>根据实际修改、</w:t>
      </w:r>
      <w:r>
        <w:rPr>
          <w:rFonts w:hint="eastAsia" w:cs="仿宋"/>
        </w:rPr>
        <w:t>增加</w:t>
      </w:r>
      <w:r>
        <w:rPr>
          <w:rFonts w:hint="eastAsia" w:cs="仿宋"/>
          <w:lang w:val="en-US" w:eastAsia="zh-CN"/>
        </w:rPr>
        <w:t>或</w:t>
      </w:r>
      <w:r>
        <w:rPr>
          <w:rFonts w:hint="eastAsia" w:cs="仿宋"/>
        </w:rPr>
        <w:t>扩展。</w:t>
      </w:r>
    </w:p>
    <w:p w14:paraId="65BBB59B">
      <w:pPr>
        <w:topLinePunct/>
        <w:spacing w:line="360" w:lineRule="auto"/>
        <w:ind w:firstLine="480" w:firstLineChars="200"/>
        <w:rPr>
          <w:rFonts w:ascii="仿宋" w:hAnsi="仿宋" w:eastAsia="仿宋"/>
          <w:sz w:val="30"/>
          <w:szCs w:val="30"/>
        </w:rPr>
      </w:pPr>
      <w:r>
        <w:rPr>
          <w:rFonts w:hint="eastAsia" w:cs="仿宋"/>
        </w:rPr>
        <w:t>附：</w:t>
      </w:r>
      <w:r>
        <w:rPr>
          <w:rFonts w:hint="eastAsia"/>
        </w:rPr>
        <w:t>包括但不限于：营业执照、资质证书、体系认证、资信等级、人员资格证书、业绩合同、获奖证书等的复印件，加盖公章。</w:t>
      </w:r>
      <w:bookmarkStart w:id="187" w:name="_Toc426317296"/>
      <w:r>
        <w:rPr>
          <w:rFonts w:hint="eastAsia" w:cs="仿宋"/>
          <w:bCs/>
        </w:rPr>
        <w:br w:type="page"/>
      </w:r>
      <w:r>
        <w:rPr>
          <w:rFonts w:hint="eastAsia" w:cs="仿宋"/>
          <w:bCs/>
        </w:rPr>
        <w:t>5.2近3年财务状况表</w:t>
      </w:r>
    </w:p>
    <w:p w14:paraId="40567D2E">
      <w:pPr>
        <w:spacing w:line="360" w:lineRule="auto"/>
        <w:ind w:firstLine="480" w:firstLineChars="200"/>
        <w:rPr>
          <w:rFonts w:hint="eastAsia" w:cs="仿宋"/>
          <w:bCs/>
        </w:rPr>
      </w:pPr>
      <w:r>
        <w:rPr>
          <w:rFonts w:hint="eastAsia" w:cs="仿宋"/>
          <w:bCs/>
        </w:rPr>
        <w:t>投标人应根据投标人须知第3.5.2项的要求在本表后附相关证明材料。</w:t>
      </w:r>
    </w:p>
    <w:p w14:paraId="3344270B">
      <w:pPr>
        <w:spacing w:line="360" w:lineRule="auto"/>
        <w:ind w:firstLine="480" w:firstLineChars="200"/>
        <w:rPr>
          <w:rFonts w:hint="eastAsia" w:cs="仿宋"/>
          <w:bCs/>
        </w:rPr>
      </w:pPr>
      <w:r>
        <w:rPr>
          <w:rFonts w:hint="eastAsia" w:cs="仿宋"/>
          <w:bCs/>
        </w:rPr>
        <w:t>对于可以现货供应的标准设备（非定制设备)，投标人的财务状况一般不宜作为审查投标人履约能力的因素。</w:t>
      </w:r>
    </w:p>
    <w:p w14:paraId="713F64D9">
      <w:pPr>
        <w:spacing w:line="360" w:lineRule="auto"/>
        <w:rPr>
          <w:rFonts w:cs="仿宋"/>
          <w:bCs/>
        </w:rPr>
      </w:pPr>
    </w:p>
    <w:p w14:paraId="7FB0204D">
      <w:pPr>
        <w:spacing w:line="360" w:lineRule="auto"/>
        <w:rPr>
          <w:rStyle w:val="96"/>
          <w:rFonts w:cs="仿宋"/>
          <w:b w:val="0"/>
        </w:rPr>
      </w:pPr>
      <w:r>
        <w:rPr>
          <w:rFonts w:hint="eastAsia" w:cs="仿宋"/>
          <w:bCs/>
        </w:rPr>
        <w:t>5.3符合资格条件的业绩汇总表</w:t>
      </w:r>
      <w:bookmarkEnd w:id="187"/>
    </w:p>
    <w:tbl>
      <w:tblPr>
        <w:tblStyle w:val="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1"/>
        <w:gridCol w:w="2036"/>
        <w:gridCol w:w="3053"/>
        <w:gridCol w:w="1276"/>
        <w:gridCol w:w="1701"/>
      </w:tblGrid>
      <w:tr w14:paraId="329F3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831" w:type="dxa"/>
            <w:noWrap w:val="0"/>
            <w:vAlign w:val="center"/>
          </w:tcPr>
          <w:p w14:paraId="1075AB22">
            <w:pPr>
              <w:spacing w:line="360" w:lineRule="auto"/>
              <w:jc w:val="center"/>
              <w:rPr>
                <w:rFonts w:cs="仿宋"/>
              </w:rPr>
            </w:pPr>
            <w:r>
              <w:rPr>
                <w:rFonts w:hint="eastAsia" w:cs="仿宋"/>
              </w:rPr>
              <w:t>序号</w:t>
            </w:r>
          </w:p>
        </w:tc>
        <w:tc>
          <w:tcPr>
            <w:tcW w:w="2036" w:type="dxa"/>
            <w:noWrap w:val="0"/>
            <w:vAlign w:val="center"/>
          </w:tcPr>
          <w:p w14:paraId="1A5895DF">
            <w:pPr>
              <w:spacing w:line="360" w:lineRule="auto"/>
              <w:jc w:val="center"/>
              <w:rPr>
                <w:rFonts w:cs="仿宋"/>
              </w:rPr>
            </w:pPr>
            <w:bookmarkStart w:id="188" w:name="_Toc351401531"/>
            <w:bookmarkStart w:id="189" w:name="_Toc351401530"/>
            <w:r>
              <w:rPr>
                <w:rFonts w:hint="eastAsia" w:cs="仿宋"/>
              </w:rPr>
              <w:t>项目业主</w:t>
            </w:r>
            <w:bookmarkEnd w:id="188"/>
            <w:r>
              <w:rPr>
                <w:rFonts w:hint="eastAsia" w:cs="仿宋"/>
              </w:rPr>
              <w:t>名称</w:t>
            </w:r>
            <w:bookmarkEnd w:id="189"/>
          </w:p>
        </w:tc>
        <w:tc>
          <w:tcPr>
            <w:tcW w:w="3053" w:type="dxa"/>
            <w:noWrap w:val="0"/>
            <w:vAlign w:val="center"/>
          </w:tcPr>
          <w:p w14:paraId="673DBEF8">
            <w:pPr>
              <w:spacing w:line="360" w:lineRule="auto"/>
              <w:jc w:val="center"/>
              <w:rPr>
                <w:rFonts w:hint="eastAsia" w:eastAsia="宋体" w:cs="仿宋"/>
                <w:lang w:eastAsia="zh-CN"/>
              </w:rPr>
            </w:pPr>
            <w:r>
              <w:rPr>
                <w:rFonts w:hint="eastAsia" w:cs="仿宋"/>
                <w:lang w:val="en-US" w:eastAsia="zh-CN"/>
              </w:rPr>
              <w:t>合同名称</w:t>
            </w:r>
          </w:p>
        </w:tc>
        <w:tc>
          <w:tcPr>
            <w:tcW w:w="1276" w:type="dxa"/>
            <w:noWrap w:val="0"/>
            <w:vAlign w:val="center"/>
          </w:tcPr>
          <w:p w14:paraId="703A4D94">
            <w:pPr>
              <w:spacing w:line="360" w:lineRule="auto"/>
              <w:jc w:val="center"/>
              <w:rPr>
                <w:rFonts w:cs="仿宋"/>
              </w:rPr>
            </w:pPr>
          </w:p>
        </w:tc>
        <w:tc>
          <w:tcPr>
            <w:tcW w:w="1701" w:type="dxa"/>
            <w:noWrap w:val="0"/>
            <w:vAlign w:val="center"/>
          </w:tcPr>
          <w:p w14:paraId="38616793">
            <w:pPr>
              <w:spacing w:line="360" w:lineRule="auto"/>
              <w:jc w:val="center"/>
              <w:rPr>
                <w:rFonts w:cs="仿宋"/>
              </w:rPr>
            </w:pPr>
            <w:r>
              <w:rPr>
                <w:rFonts w:hint="eastAsia" w:cs="仿宋"/>
              </w:rPr>
              <w:t>签订日期</w:t>
            </w:r>
          </w:p>
          <w:p w14:paraId="30DDDA9F">
            <w:pPr>
              <w:spacing w:line="360" w:lineRule="auto"/>
              <w:jc w:val="center"/>
              <w:rPr>
                <w:rFonts w:cs="仿宋"/>
              </w:rPr>
            </w:pPr>
            <w:r>
              <w:rPr>
                <w:rFonts w:hint="eastAsia" w:cs="仿宋"/>
              </w:rPr>
              <w:t>（年月）</w:t>
            </w:r>
          </w:p>
        </w:tc>
      </w:tr>
      <w:tr w14:paraId="6BF83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831" w:type="dxa"/>
            <w:noWrap w:val="0"/>
            <w:vAlign w:val="center"/>
          </w:tcPr>
          <w:p w14:paraId="31912F0A">
            <w:pPr>
              <w:spacing w:line="360" w:lineRule="auto"/>
              <w:jc w:val="center"/>
              <w:rPr>
                <w:rFonts w:cs="仿宋"/>
              </w:rPr>
            </w:pPr>
            <w:r>
              <w:rPr>
                <w:rFonts w:hint="eastAsia" w:cs="仿宋"/>
              </w:rPr>
              <w:t>1</w:t>
            </w:r>
          </w:p>
        </w:tc>
        <w:tc>
          <w:tcPr>
            <w:tcW w:w="2036" w:type="dxa"/>
            <w:noWrap w:val="0"/>
            <w:vAlign w:val="center"/>
          </w:tcPr>
          <w:p w14:paraId="2BBBF52B">
            <w:pPr>
              <w:pStyle w:val="70"/>
              <w:spacing w:beforeLines="0" w:line="360" w:lineRule="auto"/>
              <w:rPr>
                <w:rFonts w:ascii="宋体" w:hAnsi="宋体" w:cs="仿宋"/>
                <w:b w:val="0"/>
                <w:sz w:val="24"/>
                <w:szCs w:val="24"/>
                <w:lang w:val="en-US" w:eastAsia="zh-CN"/>
              </w:rPr>
            </w:pPr>
          </w:p>
        </w:tc>
        <w:tc>
          <w:tcPr>
            <w:tcW w:w="3053" w:type="dxa"/>
            <w:noWrap w:val="0"/>
            <w:vAlign w:val="center"/>
          </w:tcPr>
          <w:p w14:paraId="55154B7C">
            <w:pPr>
              <w:pStyle w:val="70"/>
              <w:spacing w:beforeLines="0" w:line="360" w:lineRule="auto"/>
              <w:rPr>
                <w:rFonts w:ascii="宋体" w:hAnsi="宋体" w:cs="仿宋"/>
                <w:b w:val="0"/>
                <w:sz w:val="24"/>
                <w:szCs w:val="24"/>
                <w:lang w:val="en-US" w:eastAsia="zh-CN"/>
              </w:rPr>
            </w:pPr>
          </w:p>
        </w:tc>
        <w:tc>
          <w:tcPr>
            <w:tcW w:w="1276" w:type="dxa"/>
            <w:noWrap w:val="0"/>
            <w:vAlign w:val="center"/>
          </w:tcPr>
          <w:p w14:paraId="2AC87430">
            <w:pPr>
              <w:pStyle w:val="70"/>
              <w:spacing w:beforeLines="0" w:line="360" w:lineRule="auto"/>
              <w:rPr>
                <w:rFonts w:ascii="宋体" w:hAnsi="宋体" w:cs="仿宋"/>
                <w:b w:val="0"/>
                <w:sz w:val="24"/>
                <w:szCs w:val="24"/>
                <w:lang w:val="en-US" w:eastAsia="zh-CN"/>
              </w:rPr>
            </w:pPr>
          </w:p>
        </w:tc>
        <w:tc>
          <w:tcPr>
            <w:tcW w:w="1701" w:type="dxa"/>
            <w:noWrap w:val="0"/>
            <w:vAlign w:val="center"/>
          </w:tcPr>
          <w:p w14:paraId="2225E2F4">
            <w:pPr>
              <w:pStyle w:val="70"/>
              <w:spacing w:beforeLines="0" w:line="360" w:lineRule="auto"/>
              <w:rPr>
                <w:rFonts w:ascii="宋体" w:hAnsi="宋体" w:cs="仿宋"/>
                <w:b w:val="0"/>
                <w:sz w:val="24"/>
                <w:szCs w:val="24"/>
                <w:lang w:val="en-US" w:eastAsia="zh-CN"/>
              </w:rPr>
            </w:pPr>
          </w:p>
        </w:tc>
      </w:tr>
      <w:tr w14:paraId="22F55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831" w:type="dxa"/>
            <w:noWrap w:val="0"/>
            <w:vAlign w:val="center"/>
          </w:tcPr>
          <w:p w14:paraId="7EDC5036">
            <w:pPr>
              <w:spacing w:line="360" w:lineRule="auto"/>
              <w:jc w:val="center"/>
              <w:rPr>
                <w:rFonts w:cs="仿宋"/>
              </w:rPr>
            </w:pPr>
            <w:r>
              <w:rPr>
                <w:rFonts w:hint="eastAsia" w:cs="仿宋"/>
              </w:rPr>
              <w:t>2</w:t>
            </w:r>
          </w:p>
        </w:tc>
        <w:tc>
          <w:tcPr>
            <w:tcW w:w="2036" w:type="dxa"/>
            <w:noWrap w:val="0"/>
            <w:vAlign w:val="center"/>
          </w:tcPr>
          <w:p w14:paraId="614DF01F">
            <w:pPr>
              <w:pStyle w:val="70"/>
              <w:spacing w:beforeLines="0" w:line="360" w:lineRule="auto"/>
              <w:rPr>
                <w:rFonts w:ascii="宋体" w:hAnsi="宋体" w:cs="仿宋"/>
                <w:b w:val="0"/>
                <w:sz w:val="24"/>
                <w:szCs w:val="24"/>
                <w:lang w:val="en-US" w:eastAsia="zh-CN"/>
              </w:rPr>
            </w:pPr>
          </w:p>
        </w:tc>
        <w:tc>
          <w:tcPr>
            <w:tcW w:w="3053" w:type="dxa"/>
            <w:noWrap w:val="0"/>
            <w:vAlign w:val="center"/>
          </w:tcPr>
          <w:p w14:paraId="7BD58529">
            <w:pPr>
              <w:pStyle w:val="70"/>
              <w:spacing w:beforeLines="0" w:line="360" w:lineRule="auto"/>
              <w:rPr>
                <w:rFonts w:ascii="宋体" w:hAnsi="宋体" w:cs="仿宋"/>
                <w:b w:val="0"/>
                <w:sz w:val="24"/>
                <w:szCs w:val="24"/>
                <w:lang w:val="en-US" w:eastAsia="zh-CN"/>
              </w:rPr>
            </w:pPr>
          </w:p>
        </w:tc>
        <w:tc>
          <w:tcPr>
            <w:tcW w:w="1276" w:type="dxa"/>
            <w:noWrap w:val="0"/>
            <w:vAlign w:val="center"/>
          </w:tcPr>
          <w:p w14:paraId="3BB3C8FC">
            <w:pPr>
              <w:pStyle w:val="70"/>
              <w:spacing w:beforeLines="0" w:line="360" w:lineRule="auto"/>
              <w:rPr>
                <w:rFonts w:ascii="宋体" w:hAnsi="宋体" w:cs="仿宋"/>
                <w:b w:val="0"/>
                <w:sz w:val="24"/>
                <w:szCs w:val="24"/>
                <w:lang w:val="en-US" w:eastAsia="zh-CN"/>
              </w:rPr>
            </w:pPr>
          </w:p>
        </w:tc>
        <w:tc>
          <w:tcPr>
            <w:tcW w:w="1701" w:type="dxa"/>
            <w:noWrap w:val="0"/>
            <w:vAlign w:val="center"/>
          </w:tcPr>
          <w:p w14:paraId="0509E2D0">
            <w:pPr>
              <w:pStyle w:val="70"/>
              <w:spacing w:beforeLines="0" w:line="360" w:lineRule="auto"/>
              <w:rPr>
                <w:rFonts w:ascii="宋体" w:hAnsi="宋体" w:cs="仿宋"/>
                <w:b w:val="0"/>
                <w:sz w:val="24"/>
                <w:szCs w:val="24"/>
                <w:lang w:val="en-US" w:eastAsia="zh-CN"/>
              </w:rPr>
            </w:pPr>
          </w:p>
        </w:tc>
      </w:tr>
      <w:tr w14:paraId="57F65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831" w:type="dxa"/>
            <w:noWrap w:val="0"/>
            <w:vAlign w:val="center"/>
          </w:tcPr>
          <w:p w14:paraId="4555468A">
            <w:pPr>
              <w:spacing w:line="360" w:lineRule="auto"/>
              <w:jc w:val="center"/>
              <w:rPr>
                <w:rFonts w:cs="仿宋"/>
              </w:rPr>
            </w:pPr>
            <w:r>
              <w:rPr>
                <w:rFonts w:hint="eastAsia" w:cs="仿宋"/>
              </w:rPr>
              <w:t>3</w:t>
            </w:r>
          </w:p>
        </w:tc>
        <w:tc>
          <w:tcPr>
            <w:tcW w:w="2036" w:type="dxa"/>
            <w:noWrap w:val="0"/>
            <w:vAlign w:val="center"/>
          </w:tcPr>
          <w:p w14:paraId="2C1EAB24">
            <w:pPr>
              <w:pStyle w:val="70"/>
              <w:spacing w:beforeLines="0" w:line="360" w:lineRule="auto"/>
              <w:rPr>
                <w:rFonts w:ascii="宋体" w:hAnsi="宋体" w:cs="仿宋"/>
                <w:b w:val="0"/>
                <w:sz w:val="24"/>
                <w:szCs w:val="24"/>
                <w:lang w:val="en-US" w:eastAsia="zh-CN"/>
              </w:rPr>
            </w:pPr>
          </w:p>
        </w:tc>
        <w:tc>
          <w:tcPr>
            <w:tcW w:w="3053" w:type="dxa"/>
            <w:noWrap w:val="0"/>
            <w:vAlign w:val="center"/>
          </w:tcPr>
          <w:p w14:paraId="4F666C8D">
            <w:pPr>
              <w:pStyle w:val="70"/>
              <w:spacing w:beforeLines="0" w:line="360" w:lineRule="auto"/>
              <w:rPr>
                <w:rFonts w:ascii="宋体" w:hAnsi="宋体" w:cs="仿宋"/>
                <w:b w:val="0"/>
                <w:sz w:val="24"/>
                <w:szCs w:val="24"/>
                <w:lang w:val="en-US" w:eastAsia="zh-CN"/>
              </w:rPr>
            </w:pPr>
          </w:p>
        </w:tc>
        <w:tc>
          <w:tcPr>
            <w:tcW w:w="1276" w:type="dxa"/>
            <w:noWrap w:val="0"/>
            <w:vAlign w:val="center"/>
          </w:tcPr>
          <w:p w14:paraId="162C5115">
            <w:pPr>
              <w:pStyle w:val="70"/>
              <w:spacing w:beforeLines="0" w:line="360" w:lineRule="auto"/>
              <w:rPr>
                <w:rFonts w:ascii="宋体" w:hAnsi="宋体" w:cs="仿宋"/>
                <w:b w:val="0"/>
                <w:sz w:val="24"/>
                <w:szCs w:val="24"/>
                <w:lang w:val="en-US" w:eastAsia="zh-CN"/>
              </w:rPr>
            </w:pPr>
          </w:p>
        </w:tc>
        <w:tc>
          <w:tcPr>
            <w:tcW w:w="1701" w:type="dxa"/>
            <w:noWrap w:val="0"/>
            <w:vAlign w:val="center"/>
          </w:tcPr>
          <w:p w14:paraId="3A0838EF">
            <w:pPr>
              <w:pStyle w:val="70"/>
              <w:spacing w:beforeLines="0" w:line="360" w:lineRule="auto"/>
              <w:rPr>
                <w:rFonts w:ascii="宋体" w:hAnsi="宋体" w:cs="仿宋"/>
                <w:b w:val="0"/>
                <w:sz w:val="24"/>
                <w:szCs w:val="24"/>
                <w:lang w:val="en-US" w:eastAsia="zh-CN"/>
              </w:rPr>
            </w:pPr>
          </w:p>
        </w:tc>
      </w:tr>
      <w:tr w14:paraId="627F6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831" w:type="dxa"/>
            <w:noWrap w:val="0"/>
            <w:vAlign w:val="center"/>
          </w:tcPr>
          <w:p w14:paraId="1A52C2D5">
            <w:pPr>
              <w:spacing w:line="360" w:lineRule="auto"/>
              <w:jc w:val="center"/>
              <w:rPr>
                <w:rFonts w:cs="仿宋"/>
              </w:rPr>
            </w:pPr>
            <w:r>
              <w:rPr>
                <w:rFonts w:hint="eastAsia" w:cs="仿宋"/>
              </w:rPr>
              <w:t>……</w:t>
            </w:r>
          </w:p>
        </w:tc>
        <w:tc>
          <w:tcPr>
            <w:tcW w:w="2036" w:type="dxa"/>
            <w:noWrap w:val="0"/>
            <w:vAlign w:val="center"/>
          </w:tcPr>
          <w:p w14:paraId="44447E48">
            <w:pPr>
              <w:pStyle w:val="70"/>
              <w:spacing w:beforeLines="0" w:line="360" w:lineRule="auto"/>
              <w:rPr>
                <w:rFonts w:ascii="宋体" w:hAnsi="宋体" w:cs="仿宋"/>
                <w:b w:val="0"/>
                <w:sz w:val="24"/>
                <w:szCs w:val="24"/>
                <w:lang w:val="en-US" w:eastAsia="zh-CN"/>
              </w:rPr>
            </w:pPr>
          </w:p>
        </w:tc>
        <w:tc>
          <w:tcPr>
            <w:tcW w:w="3053" w:type="dxa"/>
            <w:noWrap w:val="0"/>
            <w:vAlign w:val="center"/>
          </w:tcPr>
          <w:p w14:paraId="4C5D5382">
            <w:pPr>
              <w:pStyle w:val="70"/>
              <w:spacing w:beforeLines="0" w:line="360" w:lineRule="auto"/>
              <w:rPr>
                <w:rFonts w:ascii="宋体" w:hAnsi="宋体" w:cs="仿宋"/>
                <w:b w:val="0"/>
                <w:sz w:val="24"/>
                <w:szCs w:val="24"/>
                <w:lang w:val="en-US" w:eastAsia="zh-CN"/>
              </w:rPr>
            </w:pPr>
          </w:p>
        </w:tc>
        <w:tc>
          <w:tcPr>
            <w:tcW w:w="1276" w:type="dxa"/>
            <w:noWrap w:val="0"/>
            <w:vAlign w:val="center"/>
          </w:tcPr>
          <w:p w14:paraId="6C8E6111">
            <w:pPr>
              <w:pStyle w:val="70"/>
              <w:spacing w:beforeLines="0" w:line="360" w:lineRule="auto"/>
              <w:rPr>
                <w:rFonts w:ascii="宋体" w:hAnsi="宋体" w:cs="仿宋"/>
                <w:b w:val="0"/>
                <w:sz w:val="24"/>
                <w:szCs w:val="24"/>
                <w:lang w:val="en-US" w:eastAsia="zh-CN"/>
              </w:rPr>
            </w:pPr>
          </w:p>
        </w:tc>
        <w:tc>
          <w:tcPr>
            <w:tcW w:w="1701" w:type="dxa"/>
            <w:noWrap w:val="0"/>
            <w:vAlign w:val="center"/>
          </w:tcPr>
          <w:p w14:paraId="4E81BEB8">
            <w:pPr>
              <w:pStyle w:val="70"/>
              <w:spacing w:beforeLines="0" w:line="360" w:lineRule="auto"/>
              <w:rPr>
                <w:rFonts w:ascii="宋体" w:hAnsi="宋体" w:cs="仿宋"/>
                <w:b w:val="0"/>
                <w:sz w:val="24"/>
                <w:szCs w:val="24"/>
                <w:lang w:val="en-US" w:eastAsia="zh-CN"/>
              </w:rPr>
            </w:pPr>
          </w:p>
        </w:tc>
      </w:tr>
    </w:tbl>
    <w:p w14:paraId="5088B650">
      <w:pPr>
        <w:topLinePunct/>
        <w:spacing w:line="360" w:lineRule="auto"/>
        <w:ind w:firstLine="482" w:firstLineChars="200"/>
        <w:rPr>
          <w:rFonts w:cs="仿宋"/>
          <w:b/>
          <w:bCs/>
        </w:rPr>
      </w:pPr>
    </w:p>
    <w:p w14:paraId="06E69962">
      <w:pPr>
        <w:topLinePunct/>
        <w:spacing w:line="360" w:lineRule="auto"/>
        <w:ind w:firstLine="482" w:firstLineChars="200"/>
        <w:rPr>
          <w:rFonts w:cs="仿宋"/>
          <w:b/>
          <w:bCs/>
        </w:rPr>
      </w:pPr>
      <w:r>
        <w:rPr>
          <w:rFonts w:hint="eastAsia" w:cs="仿宋"/>
          <w:b/>
          <w:bCs/>
        </w:rPr>
        <w:t>注：提供的业绩要附合同复印件作为证明。</w:t>
      </w:r>
    </w:p>
    <w:p w14:paraId="6B880581">
      <w:pPr>
        <w:spacing w:line="360" w:lineRule="auto"/>
        <w:rPr>
          <w:rFonts w:cs="仿宋"/>
        </w:rPr>
      </w:pPr>
    </w:p>
    <w:p w14:paraId="4E8028AA">
      <w:pPr>
        <w:spacing w:line="360" w:lineRule="auto"/>
        <w:ind w:firstLine="4200" w:firstLineChars="1750"/>
        <w:rPr>
          <w:rFonts w:cs="仿宋"/>
        </w:rPr>
      </w:pPr>
      <w:r>
        <w:rPr>
          <w:rFonts w:hint="eastAsia" w:cs="仿宋"/>
        </w:rPr>
        <w:t>投标人：（盖单位章）</w:t>
      </w:r>
    </w:p>
    <w:p w14:paraId="727CFB83">
      <w:pPr>
        <w:spacing w:line="360" w:lineRule="auto"/>
        <w:ind w:firstLine="4200" w:firstLineChars="1750"/>
        <w:rPr>
          <w:rFonts w:cs="仿宋"/>
        </w:rPr>
      </w:pPr>
      <w:r>
        <w:rPr>
          <w:rFonts w:hint="eastAsia" w:cs="仿宋"/>
        </w:rPr>
        <w:t>法定代表人或其委托代理人：（签字）</w:t>
      </w:r>
    </w:p>
    <w:p w14:paraId="395D7DCF">
      <w:pPr>
        <w:spacing w:line="360" w:lineRule="auto"/>
        <w:ind w:firstLine="4200" w:firstLineChars="1750"/>
        <w:rPr>
          <w:rFonts w:hint="eastAsia" w:cs="仿宋"/>
        </w:rPr>
      </w:pPr>
      <w:r>
        <w:rPr>
          <w:rFonts w:hint="eastAsia" w:cs="仿宋"/>
        </w:rPr>
        <w:t>年月日</w:t>
      </w:r>
    </w:p>
    <w:p w14:paraId="12A4312B">
      <w:pPr>
        <w:spacing w:line="360" w:lineRule="auto"/>
        <w:rPr>
          <w:rFonts w:hint="eastAsia" w:cs="仿宋"/>
          <w:bCs/>
        </w:rPr>
      </w:pPr>
      <w:r>
        <w:rPr>
          <w:rFonts w:hint="eastAsia" w:cs="仿宋"/>
          <w:bCs/>
        </w:rPr>
        <w:t>5.4近年发生的诉讼及仲裁情况</w:t>
      </w:r>
    </w:p>
    <w:p w14:paraId="10598115">
      <w:pPr>
        <w:spacing w:line="360" w:lineRule="auto"/>
        <w:ind w:firstLine="480" w:firstLineChars="200"/>
        <w:rPr>
          <w:rFonts w:hint="eastAsia" w:cs="仿宋"/>
          <w:bCs/>
        </w:rPr>
        <w:sectPr>
          <w:footerReference r:id="rId8" w:type="default"/>
          <w:pgSz w:w="11907" w:h="16840"/>
          <w:pgMar w:top="1304" w:right="1304" w:bottom="1304" w:left="1304" w:header="850" w:footer="992" w:gutter="0"/>
          <w:pgNumType w:fmt="decimal"/>
          <w:cols w:space="720" w:num="1"/>
          <w:docGrid w:linePitch="360" w:charSpace="0"/>
        </w:sectPr>
      </w:pPr>
      <w:r>
        <w:rPr>
          <w:rFonts w:hint="eastAsia" w:cs="仿宋"/>
          <w:bCs/>
        </w:rPr>
        <w:t>注：投标人应根据投标人须知第3.5.4项的要求附相关证明材料。</w:t>
      </w:r>
    </w:p>
    <w:p w14:paraId="4EB8889F">
      <w:pPr>
        <w:pStyle w:val="59"/>
        <w:ind w:left="0" w:firstLine="0"/>
        <w:rPr>
          <w:rFonts w:hint="eastAsia" w:cs="仿宋"/>
          <w:b w:val="0"/>
        </w:rPr>
      </w:pPr>
      <w:bookmarkStart w:id="190" w:name="_Toc19580_WPSOffice_Level1"/>
      <w:bookmarkStart w:id="191" w:name="_Toc508871758"/>
      <w:bookmarkStart w:id="192" w:name="_Toc506105878"/>
      <w:bookmarkStart w:id="193" w:name="_Toc352160853"/>
      <w:bookmarkStart w:id="194" w:name="_Toc391556618"/>
      <w:bookmarkStart w:id="195" w:name="_Toc20622_WPSOffice_Level1"/>
      <w:r>
        <w:rPr>
          <w:rFonts w:hint="eastAsia" w:cs="仿宋"/>
          <w:b w:val="0"/>
        </w:rPr>
        <w:t>6、报价表</w:t>
      </w:r>
      <w:bookmarkEnd w:id="190"/>
      <w:bookmarkEnd w:id="191"/>
      <w:bookmarkEnd w:id="192"/>
      <w:bookmarkEnd w:id="193"/>
      <w:bookmarkEnd w:id="194"/>
      <w:bookmarkEnd w:id="195"/>
    </w:p>
    <w:p w14:paraId="5CD58762">
      <w:pPr>
        <w:spacing w:line="360" w:lineRule="auto"/>
        <w:rPr>
          <w:rFonts w:cs="仿宋"/>
          <w:b/>
        </w:rPr>
      </w:pPr>
      <w:r>
        <w:rPr>
          <w:rFonts w:hint="eastAsia" w:cs="仿宋"/>
          <w:b/>
        </w:rPr>
        <w:t>6.1报价说明：</w:t>
      </w:r>
    </w:p>
    <w:p w14:paraId="49B79553">
      <w:pPr>
        <w:tabs>
          <w:tab w:val="left" w:pos="945"/>
        </w:tabs>
        <w:spacing w:line="360" w:lineRule="auto"/>
        <w:ind w:firstLine="480" w:firstLineChars="200"/>
        <w:rPr>
          <w:rFonts w:cs="仿宋"/>
        </w:rPr>
      </w:pPr>
      <w:r>
        <w:rPr>
          <w:rFonts w:hint="eastAsia" w:cs="仿宋"/>
        </w:rPr>
        <w:t>（1）报价表应按本招标文件规定的格式填写。</w:t>
      </w:r>
    </w:p>
    <w:p w14:paraId="56DFDDBC">
      <w:pPr>
        <w:tabs>
          <w:tab w:val="left" w:pos="945"/>
        </w:tabs>
        <w:spacing w:line="360" w:lineRule="auto"/>
        <w:ind w:firstLine="480" w:firstLineChars="200"/>
        <w:rPr>
          <w:rFonts w:cs="仿宋"/>
        </w:rPr>
      </w:pPr>
      <w:r>
        <w:rPr>
          <w:rFonts w:hint="eastAsia" w:cs="仿宋"/>
        </w:rPr>
        <w:t>（2）报价币种为人民币。</w:t>
      </w:r>
    </w:p>
    <w:p w14:paraId="4A40D8F8">
      <w:pPr>
        <w:tabs>
          <w:tab w:val="left" w:pos="945"/>
        </w:tabs>
        <w:spacing w:line="360" w:lineRule="auto"/>
        <w:ind w:firstLine="480" w:firstLineChars="200"/>
        <w:rPr>
          <w:rFonts w:cs="仿宋"/>
        </w:rPr>
      </w:pPr>
      <w:r>
        <w:rPr>
          <w:rFonts w:hint="eastAsia" w:cs="仿宋"/>
        </w:rPr>
        <w:t>（3）如果按单价计算的结果与总价不一致，以单价为准修正总价。</w:t>
      </w:r>
    </w:p>
    <w:p w14:paraId="1180A453">
      <w:pPr>
        <w:tabs>
          <w:tab w:val="left" w:pos="945"/>
        </w:tabs>
        <w:spacing w:line="360" w:lineRule="auto"/>
        <w:ind w:firstLine="480" w:firstLineChars="200"/>
        <w:rPr>
          <w:rFonts w:cs="仿宋"/>
        </w:rPr>
      </w:pPr>
      <w:r>
        <w:rPr>
          <w:rFonts w:hint="eastAsia" w:cs="仿宋"/>
        </w:rPr>
        <w:t>（4）报价清单中有计算或汇总中的算术错误时，将按招标须知中有关规定执行。</w:t>
      </w:r>
    </w:p>
    <w:p w14:paraId="268837C9">
      <w:pPr>
        <w:tabs>
          <w:tab w:val="left" w:pos="945"/>
        </w:tabs>
        <w:spacing w:line="360" w:lineRule="auto"/>
        <w:ind w:firstLine="480" w:firstLineChars="200"/>
        <w:rPr>
          <w:rFonts w:cs="仿宋"/>
        </w:rPr>
      </w:pPr>
      <w:r>
        <w:rPr>
          <w:rFonts w:hint="eastAsia" w:cs="仿宋"/>
        </w:rPr>
        <w:t>（5）报价中包含</w:t>
      </w:r>
      <w:r>
        <w:rPr>
          <w:rFonts w:hint="eastAsia" w:ascii="宋体" w:hAnsi="宋体" w:cs="宋体"/>
          <w:color w:val="000000"/>
          <w:sz w:val="24"/>
        </w:rPr>
        <w:t>材料费、</w:t>
      </w:r>
      <w:r>
        <w:rPr>
          <w:rFonts w:hint="eastAsia" w:ascii="宋体" w:hAnsi="宋体" w:cs="宋体"/>
          <w:color w:val="000000"/>
          <w:sz w:val="24"/>
          <w:lang w:val="zh-CN"/>
        </w:rPr>
        <w:t>往返运输、</w:t>
      </w:r>
      <w:r>
        <w:rPr>
          <w:rFonts w:hint="eastAsia" w:ascii="宋体" w:hAnsi="宋体" w:cs="宋体"/>
          <w:color w:val="000000"/>
          <w:sz w:val="24"/>
        </w:rPr>
        <w:t>人工、</w:t>
      </w:r>
      <w:r>
        <w:rPr>
          <w:rFonts w:hint="eastAsia" w:ascii="宋体" w:hAnsi="宋体" w:cs="宋体"/>
          <w:color w:val="000000"/>
          <w:sz w:val="24"/>
          <w:lang w:val="zh-CN"/>
        </w:rPr>
        <w:t>试验</w:t>
      </w:r>
      <w:r>
        <w:rPr>
          <w:rFonts w:hint="eastAsia" w:ascii="宋体" w:hAnsi="宋体" w:cs="宋体"/>
          <w:color w:val="000000"/>
          <w:sz w:val="24"/>
        </w:rPr>
        <w:t>等费用</w:t>
      </w:r>
      <w:r>
        <w:rPr>
          <w:rFonts w:hint="eastAsia" w:cs="仿宋"/>
        </w:rPr>
        <w:t>。</w:t>
      </w:r>
    </w:p>
    <w:p w14:paraId="571611F0">
      <w:pPr>
        <w:tabs>
          <w:tab w:val="left" w:pos="945"/>
        </w:tabs>
        <w:spacing w:line="360" w:lineRule="auto"/>
        <w:ind w:firstLine="480" w:firstLineChars="200"/>
        <w:rPr>
          <w:rFonts w:cs="仿宋"/>
        </w:rPr>
      </w:pPr>
      <w:r>
        <w:rPr>
          <w:rFonts w:hint="eastAsia" w:cs="仿宋"/>
        </w:rPr>
        <w:t>（6）本项目为固定总价项目，合同价格包括完成项目所需的各种费用，且在合同执行过程中不作任何调整。</w:t>
      </w:r>
    </w:p>
    <w:p w14:paraId="0F30128F">
      <w:pPr>
        <w:tabs>
          <w:tab w:val="left" w:pos="945"/>
        </w:tabs>
        <w:spacing w:line="360" w:lineRule="auto"/>
        <w:ind w:left="1027" w:leftChars="228" w:hanging="480" w:hangingChars="200"/>
        <w:rPr>
          <w:rFonts w:cs="仿宋"/>
        </w:rPr>
      </w:pPr>
      <w:r>
        <w:rPr>
          <w:rFonts w:hint="eastAsia" w:cs="仿宋"/>
        </w:rPr>
        <w:t>（7）若投标人对某些项目未报价，则应认为已包括在总报价内。</w:t>
      </w:r>
    </w:p>
    <w:p w14:paraId="7BDA7BFF">
      <w:pPr>
        <w:tabs>
          <w:tab w:val="left" w:pos="945"/>
        </w:tabs>
        <w:spacing w:line="360" w:lineRule="auto"/>
        <w:ind w:firstLine="480" w:firstLineChars="200"/>
        <w:rPr>
          <w:rFonts w:cs="仿宋"/>
        </w:rPr>
      </w:pPr>
      <w:r>
        <w:rPr>
          <w:rFonts w:hint="eastAsia" w:cs="仿宋"/>
        </w:rPr>
        <w:t>（8）</w:t>
      </w:r>
      <w:r>
        <w:rPr>
          <w:rFonts w:cs="仿宋"/>
        </w:rPr>
        <w:t>报价</w:t>
      </w:r>
      <w:r>
        <w:rPr>
          <w:rFonts w:hint="eastAsia" w:cs="仿宋"/>
        </w:rPr>
        <w:t>为</w:t>
      </w:r>
      <w:r>
        <w:rPr>
          <w:rFonts w:cs="仿宋"/>
        </w:rPr>
        <w:t>含</w:t>
      </w:r>
      <w:r>
        <w:rPr>
          <w:rFonts w:hint="eastAsia" w:cs="仿宋"/>
          <w:u w:val="single"/>
          <w:lang w:val="en-US" w:eastAsia="zh-CN"/>
        </w:rPr>
        <w:t xml:space="preserve">   </w:t>
      </w:r>
      <w:r>
        <w:rPr>
          <w:rFonts w:cs="仿宋"/>
        </w:rPr>
        <w:t>%增值税专用发票价格</w:t>
      </w:r>
      <w:r>
        <w:rPr>
          <w:rFonts w:hint="eastAsia" w:cs="仿宋"/>
        </w:rPr>
        <w:t>（以人民币报价的方式）。</w:t>
      </w:r>
    </w:p>
    <w:p w14:paraId="7D6DB79E">
      <w:pPr>
        <w:autoSpaceDE w:val="0"/>
        <w:autoSpaceDN w:val="0"/>
        <w:adjustRightInd w:val="0"/>
        <w:snapToGrid w:val="0"/>
        <w:spacing w:before="156" w:beforeLines="50" w:after="249" w:afterLines="80" w:line="360" w:lineRule="auto"/>
        <w:ind w:left="393" w:hanging="393" w:hangingChars="163"/>
        <w:rPr>
          <w:rFonts w:cs="仿宋"/>
          <w:b/>
        </w:rPr>
      </w:pPr>
    </w:p>
    <w:p w14:paraId="142474AA">
      <w:pPr>
        <w:autoSpaceDE w:val="0"/>
        <w:autoSpaceDN w:val="0"/>
        <w:adjustRightInd w:val="0"/>
        <w:snapToGrid w:val="0"/>
        <w:jc w:val="both"/>
        <w:rPr>
          <w:rFonts w:cs="仿宋"/>
          <w:b/>
        </w:rPr>
      </w:pPr>
      <w:r>
        <w:rPr>
          <w:rFonts w:hint="eastAsia" w:cs="仿宋"/>
          <w:b/>
        </w:rPr>
        <w:br w:type="page"/>
      </w:r>
      <w:r>
        <w:rPr>
          <w:rFonts w:hint="eastAsia" w:cs="仿宋"/>
          <w:b/>
        </w:rPr>
        <w:t>6.2</w:t>
      </w:r>
      <w:r>
        <w:rPr>
          <w:rFonts w:hint="eastAsia" w:cs="仿宋"/>
          <w:b/>
          <w:lang w:val="en-US" w:eastAsia="zh-CN"/>
        </w:rPr>
        <w:t>分项</w:t>
      </w:r>
      <w:r>
        <w:rPr>
          <w:rFonts w:hint="eastAsia" w:cs="仿宋"/>
          <w:b/>
        </w:rPr>
        <w:t xml:space="preserve">报价表            </w:t>
      </w:r>
    </w:p>
    <w:p w14:paraId="340FE100">
      <w:pPr>
        <w:autoSpaceDE w:val="0"/>
        <w:autoSpaceDN w:val="0"/>
        <w:adjustRightInd w:val="0"/>
        <w:snapToGrid w:val="0"/>
        <w:ind w:left="393" w:hanging="393" w:hangingChars="163"/>
        <w:jc w:val="center"/>
        <w:rPr>
          <w:rFonts w:hint="eastAsia" w:eastAsia="宋体" w:cs="仿宋"/>
          <w:lang w:eastAsia="zh-CN"/>
        </w:rPr>
      </w:pPr>
      <w:r>
        <w:rPr>
          <w:rFonts w:hint="eastAsia" w:cs="仿宋"/>
          <w:b/>
          <w:lang w:val="en-US" w:eastAsia="zh-CN"/>
        </w:rPr>
        <w:t>分项</w:t>
      </w:r>
      <w:r>
        <w:rPr>
          <w:rFonts w:hint="eastAsia" w:cs="仿宋"/>
          <w:b/>
        </w:rPr>
        <w:t>报价表</w:t>
      </w:r>
      <w:r>
        <w:rPr>
          <w:rFonts w:hint="eastAsia" w:cs="仿宋"/>
          <w:b/>
          <w:lang w:eastAsia="zh-CN"/>
        </w:rPr>
        <w:t>（</w:t>
      </w:r>
      <w:r>
        <w:rPr>
          <w:rFonts w:hint="eastAsia" w:cs="仿宋"/>
          <w:b/>
          <w:lang w:val="en-US" w:eastAsia="zh-CN"/>
        </w:rPr>
        <w:t>单位：元</w:t>
      </w:r>
      <w:r>
        <w:rPr>
          <w:rFonts w:hint="eastAsia" w:cs="仿宋"/>
          <w:b/>
          <w:lang w:eastAsia="zh-CN"/>
        </w:rPr>
        <w:t>）</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2256"/>
        <w:gridCol w:w="535"/>
        <w:gridCol w:w="600"/>
        <w:gridCol w:w="554"/>
        <w:gridCol w:w="556"/>
        <w:gridCol w:w="526"/>
        <w:gridCol w:w="607"/>
        <w:gridCol w:w="607"/>
        <w:gridCol w:w="607"/>
        <w:gridCol w:w="609"/>
        <w:gridCol w:w="609"/>
      </w:tblGrid>
      <w:tr w14:paraId="4E4B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26" w:type="dxa"/>
            <w:vAlign w:val="center"/>
          </w:tcPr>
          <w:p w14:paraId="6848C74B">
            <w:pPr>
              <w:jc w:val="center"/>
              <w:rPr>
                <w:rFonts w:hint="default"/>
                <w:vertAlign w:val="baseline"/>
                <w:lang w:val="en-US" w:eastAsia="zh-CN"/>
              </w:rPr>
            </w:pPr>
            <w:r>
              <w:rPr>
                <w:rFonts w:hint="eastAsia"/>
                <w:vertAlign w:val="baseline"/>
                <w:lang w:val="en-US" w:eastAsia="zh-CN"/>
              </w:rPr>
              <w:t>序号</w:t>
            </w:r>
          </w:p>
        </w:tc>
        <w:tc>
          <w:tcPr>
            <w:tcW w:w="2172" w:type="dxa"/>
            <w:tcBorders>
              <w:tl2br w:val="single" w:color="auto" w:sz="4" w:space="0"/>
            </w:tcBorders>
            <w:vAlign w:val="center"/>
          </w:tcPr>
          <w:p w14:paraId="35A404C6">
            <w:pPr>
              <w:jc w:val="center"/>
              <w:rPr>
                <w:rFonts w:hint="eastAsia"/>
                <w:vertAlign w:val="baseline"/>
                <w:lang w:val="en-US" w:eastAsia="zh-CN"/>
              </w:rPr>
            </w:pPr>
            <w:r>
              <w:rPr>
                <w:rFonts w:hint="eastAsia"/>
                <w:vertAlign w:val="baseline"/>
                <w:lang w:val="en-US" w:eastAsia="zh-CN"/>
              </w:rPr>
              <w:t xml:space="preserve">         维修内容</w:t>
            </w:r>
          </w:p>
          <w:p w14:paraId="6A3EBE3D">
            <w:pPr>
              <w:jc w:val="left"/>
              <w:rPr>
                <w:rFonts w:hint="eastAsia"/>
                <w:vertAlign w:val="baseline"/>
                <w:lang w:val="en-US" w:eastAsia="zh-CN"/>
              </w:rPr>
            </w:pPr>
            <w:r>
              <w:rPr>
                <w:rFonts w:hint="eastAsia"/>
                <w:vertAlign w:val="baseline"/>
                <w:lang w:val="en-US" w:eastAsia="zh-CN"/>
              </w:rPr>
              <w:t>型  号</w:t>
            </w:r>
          </w:p>
        </w:tc>
        <w:tc>
          <w:tcPr>
            <w:tcW w:w="605" w:type="dxa"/>
            <w:vAlign w:val="center"/>
          </w:tcPr>
          <w:p w14:paraId="16EE718E">
            <w:pPr>
              <w:jc w:val="center"/>
              <w:rPr>
                <w:rFonts w:hint="default"/>
                <w:vertAlign w:val="baseline"/>
                <w:lang w:val="en-US" w:eastAsia="zh-CN"/>
              </w:rPr>
            </w:pPr>
            <w:r>
              <w:rPr>
                <w:rFonts w:hint="eastAsia"/>
                <w:vertAlign w:val="baseline"/>
                <w:lang w:val="en-US" w:eastAsia="zh-CN"/>
              </w:rPr>
              <w:t>定子大修</w:t>
            </w:r>
          </w:p>
        </w:tc>
        <w:tc>
          <w:tcPr>
            <w:tcW w:w="727" w:type="dxa"/>
            <w:vAlign w:val="center"/>
          </w:tcPr>
          <w:p w14:paraId="2F2916BA">
            <w:pPr>
              <w:jc w:val="center"/>
              <w:rPr>
                <w:rFonts w:hint="default"/>
                <w:vertAlign w:val="baseline"/>
                <w:lang w:val="en-US" w:eastAsia="zh-CN"/>
              </w:rPr>
            </w:pPr>
            <w:r>
              <w:rPr>
                <w:rFonts w:hint="eastAsia"/>
                <w:vertAlign w:val="baseline"/>
                <w:lang w:val="en-US" w:eastAsia="zh-CN"/>
              </w:rPr>
              <w:t>转子大修</w:t>
            </w:r>
          </w:p>
        </w:tc>
        <w:tc>
          <w:tcPr>
            <w:tcW w:w="641" w:type="dxa"/>
            <w:vAlign w:val="center"/>
          </w:tcPr>
          <w:p w14:paraId="76767776">
            <w:pPr>
              <w:jc w:val="center"/>
              <w:rPr>
                <w:rFonts w:hint="default"/>
                <w:vertAlign w:val="baseline"/>
                <w:lang w:val="en-US" w:eastAsia="zh-CN"/>
              </w:rPr>
            </w:pPr>
            <w:r>
              <w:rPr>
                <w:rFonts w:hint="eastAsia"/>
                <w:vertAlign w:val="baseline"/>
                <w:lang w:val="en-US" w:eastAsia="zh-CN"/>
              </w:rPr>
              <w:t>保养</w:t>
            </w:r>
          </w:p>
        </w:tc>
        <w:tc>
          <w:tcPr>
            <w:tcW w:w="645" w:type="dxa"/>
            <w:vAlign w:val="center"/>
          </w:tcPr>
          <w:p w14:paraId="1E7E2B62">
            <w:pPr>
              <w:jc w:val="center"/>
              <w:rPr>
                <w:rFonts w:hint="default"/>
                <w:vertAlign w:val="baseline"/>
                <w:lang w:val="en-US" w:eastAsia="zh-CN"/>
              </w:rPr>
            </w:pPr>
            <w:r>
              <w:rPr>
                <w:rFonts w:hint="eastAsia"/>
                <w:vertAlign w:val="baseline"/>
                <w:lang w:val="en-US" w:eastAsia="zh-CN"/>
              </w:rPr>
              <w:t>转子平衡</w:t>
            </w:r>
          </w:p>
        </w:tc>
        <w:tc>
          <w:tcPr>
            <w:tcW w:w="588" w:type="dxa"/>
            <w:vAlign w:val="center"/>
          </w:tcPr>
          <w:p w14:paraId="68CE30C3">
            <w:pPr>
              <w:jc w:val="center"/>
              <w:rPr>
                <w:rFonts w:hint="default"/>
                <w:vertAlign w:val="baseline"/>
                <w:lang w:val="en-US" w:eastAsia="zh-CN"/>
              </w:rPr>
            </w:pPr>
            <w:r>
              <w:rPr>
                <w:rFonts w:hint="eastAsia"/>
                <w:vertAlign w:val="baseline"/>
                <w:lang w:val="en-US" w:eastAsia="zh-CN"/>
              </w:rPr>
              <w:t>轴瓦浇筑</w:t>
            </w:r>
          </w:p>
        </w:tc>
        <w:tc>
          <w:tcPr>
            <w:tcW w:w="741" w:type="dxa"/>
            <w:vAlign w:val="center"/>
          </w:tcPr>
          <w:p w14:paraId="646149BC">
            <w:pPr>
              <w:jc w:val="center"/>
              <w:rPr>
                <w:rFonts w:hint="default"/>
                <w:vertAlign w:val="baseline"/>
                <w:lang w:val="en-US" w:eastAsia="zh-CN"/>
              </w:rPr>
            </w:pPr>
            <w:r>
              <w:rPr>
                <w:rFonts w:hint="eastAsia"/>
                <w:vertAlign w:val="baseline"/>
                <w:lang w:val="en-US" w:eastAsia="zh-CN"/>
              </w:rPr>
              <w:t>轴瓦刮研\调试</w:t>
            </w:r>
          </w:p>
        </w:tc>
        <w:tc>
          <w:tcPr>
            <w:tcW w:w="741" w:type="dxa"/>
            <w:vAlign w:val="center"/>
          </w:tcPr>
          <w:p w14:paraId="566BF7F1">
            <w:pPr>
              <w:jc w:val="center"/>
              <w:rPr>
                <w:rFonts w:hint="eastAsia"/>
                <w:b/>
                <w:bCs/>
                <w:vertAlign w:val="baseline"/>
                <w:lang w:val="en-US" w:eastAsia="zh-CN"/>
              </w:rPr>
            </w:pPr>
            <w:r>
              <w:rPr>
                <w:rFonts w:hint="eastAsia"/>
                <w:vertAlign w:val="baseline"/>
                <w:lang w:val="en-US" w:eastAsia="zh-CN"/>
              </w:rPr>
              <w:t>轴承更换</w:t>
            </w:r>
          </w:p>
        </w:tc>
        <w:tc>
          <w:tcPr>
            <w:tcW w:w="741" w:type="dxa"/>
            <w:vAlign w:val="center"/>
          </w:tcPr>
          <w:p w14:paraId="1E964B5B">
            <w:pPr>
              <w:jc w:val="center"/>
              <w:rPr>
                <w:rFonts w:hint="eastAsia"/>
                <w:vertAlign w:val="baseline"/>
                <w:lang w:val="en-US" w:eastAsia="zh-CN"/>
              </w:rPr>
            </w:pPr>
            <w:r>
              <w:rPr>
                <w:rFonts w:hint="eastAsia"/>
                <w:vertAlign w:val="baseline"/>
                <w:lang w:val="en-US" w:eastAsia="zh-CN"/>
              </w:rPr>
              <w:t>轴承室维修</w:t>
            </w:r>
          </w:p>
        </w:tc>
        <w:tc>
          <w:tcPr>
            <w:tcW w:w="745" w:type="dxa"/>
            <w:vAlign w:val="center"/>
          </w:tcPr>
          <w:p w14:paraId="60D28048">
            <w:pPr>
              <w:jc w:val="center"/>
              <w:rPr>
                <w:rFonts w:hint="eastAsia"/>
                <w:vertAlign w:val="baseline"/>
                <w:lang w:val="en-US" w:eastAsia="zh-CN"/>
              </w:rPr>
            </w:pPr>
            <w:r>
              <w:rPr>
                <w:rFonts w:hint="eastAsia"/>
                <w:vertAlign w:val="baseline"/>
                <w:lang w:val="en-US" w:eastAsia="zh-CN"/>
              </w:rPr>
              <w:t>更换差动CT</w:t>
            </w:r>
          </w:p>
        </w:tc>
        <w:tc>
          <w:tcPr>
            <w:tcW w:w="743" w:type="dxa"/>
            <w:vAlign w:val="center"/>
          </w:tcPr>
          <w:p w14:paraId="39BA5ED5">
            <w:pPr>
              <w:jc w:val="center"/>
              <w:rPr>
                <w:rFonts w:hint="default"/>
                <w:vertAlign w:val="baseline"/>
                <w:lang w:val="en-US" w:eastAsia="zh-CN"/>
              </w:rPr>
            </w:pPr>
            <w:r>
              <w:rPr>
                <w:rFonts w:hint="eastAsia"/>
                <w:vertAlign w:val="baseline"/>
                <w:lang w:val="en-US" w:eastAsia="zh-CN"/>
              </w:rPr>
              <w:t>更换/维修冷却风机</w:t>
            </w:r>
          </w:p>
        </w:tc>
      </w:tr>
      <w:tr w14:paraId="5193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6F30FFDD">
            <w:pPr>
              <w:jc w:val="center"/>
              <w:rPr>
                <w:rFonts w:hint="default"/>
                <w:vertAlign w:val="baseline"/>
                <w:lang w:val="en-US" w:eastAsia="zh-CN"/>
              </w:rPr>
            </w:pPr>
            <w:r>
              <w:rPr>
                <w:rFonts w:hint="eastAsia"/>
                <w:vertAlign w:val="baseline"/>
                <w:lang w:val="en-US" w:eastAsia="zh-CN"/>
              </w:rPr>
              <w:t>1</w:t>
            </w:r>
          </w:p>
        </w:tc>
        <w:tc>
          <w:tcPr>
            <w:tcW w:w="2172" w:type="dxa"/>
            <w:vAlign w:val="center"/>
          </w:tcPr>
          <w:p w14:paraId="1DB6F321">
            <w:pPr>
              <w:rPr>
                <w:rFonts w:hint="default"/>
                <w:vertAlign w:val="baseline"/>
                <w:lang w:val="en-US" w:eastAsia="zh-CN"/>
              </w:rPr>
            </w:pPr>
            <w:r>
              <w:rPr>
                <w:rFonts w:hint="eastAsia"/>
                <w:vertAlign w:val="baseline"/>
                <w:lang w:val="en-US" w:eastAsia="zh-CN"/>
              </w:rPr>
              <w:t>YRKK710-6/2200KW</w:t>
            </w:r>
          </w:p>
        </w:tc>
        <w:tc>
          <w:tcPr>
            <w:tcW w:w="605" w:type="dxa"/>
            <w:vAlign w:val="center"/>
          </w:tcPr>
          <w:p w14:paraId="057C275B">
            <w:pPr>
              <w:jc w:val="center"/>
              <w:rPr>
                <w:rFonts w:hint="default"/>
                <w:vertAlign w:val="baseline"/>
                <w:lang w:val="en-US" w:eastAsia="zh-CN"/>
              </w:rPr>
            </w:pPr>
          </w:p>
        </w:tc>
        <w:tc>
          <w:tcPr>
            <w:tcW w:w="727" w:type="dxa"/>
            <w:vAlign w:val="center"/>
          </w:tcPr>
          <w:p w14:paraId="2714CB21">
            <w:pPr>
              <w:jc w:val="center"/>
              <w:rPr>
                <w:rFonts w:hint="default"/>
                <w:vertAlign w:val="baseline"/>
                <w:lang w:val="en-US" w:eastAsia="zh-CN"/>
              </w:rPr>
            </w:pPr>
          </w:p>
        </w:tc>
        <w:tc>
          <w:tcPr>
            <w:tcW w:w="641" w:type="dxa"/>
            <w:vAlign w:val="center"/>
          </w:tcPr>
          <w:p w14:paraId="5D569C01">
            <w:pPr>
              <w:jc w:val="center"/>
              <w:rPr>
                <w:rFonts w:hint="default"/>
                <w:vertAlign w:val="baseline"/>
                <w:lang w:val="en-US" w:eastAsia="zh-CN"/>
              </w:rPr>
            </w:pPr>
          </w:p>
        </w:tc>
        <w:tc>
          <w:tcPr>
            <w:tcW w:w="645" w:type="dxa"/>
            <w:vAlign w:val="center"/>
          </w:tcPr>
          <w:p w14:paraId="704BC4B3">
            <w:pPr>
              <w:jc w:val="center"/>
              <w:rPr>
                <w:rFonts w:hint="default"/>
                <w:vertAlign w:val="baseline"/>
                <w:lang w:val="en-US" w:eastAsia="zh-CN"/>
              </w:rPr>
            </w:pPr>
          </w:p>
        </w:tc>
        <w:tc>
          <w:tcPr>
            <w:tcW w:w="588" w:type="dxa"/>
            <w:vAlign w:val="center"/>
          </w:tcPr>
          <w:p w14:paraId="05DA3011">
            <w:pPr>
              <w:jc w:val="center"/>
              <w:rPr>
                <w:rFonts w:hint="default"/>
                <w:vertAlign w:val="baseline"/>
                <w:lang w:val="en-US" w:eastAsia="zh-CN"/>
              </w:rPr>
            </w:pPr>
          </w:p>
        </w:tc>
        <w:tc>
          <w:tcPr>
            <w:tcW w:w="741" w:type="dxa"/>
            <w:vAlign w:val="center"/>
          </w:tcPr>
          <w:p w14:paraId="2483172E">
            <w:pPr>
              <w:jc w:val="center"/>
              <w:rPr>
                <w:rFonts w:hint="default"/>
                <w:vertAlign w:val="baseline"/>
                <w:lang w:val="en-US" w:eastAsia="zh-CN"/>
              </w:rPr>
            </w:pPr>
          </w:p>
        </w:tc>
        <w:tc>
          <w:tcPr>
            <w:tcW w:w="741" w:type="dxa"/>
            <w:vAlign w:val="center"/>
          </w:tcPr>
          <w:p w14:paraId="5714E571">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678D6AE3">
            <w:pPr>
              <w:jc w:val="center"/>
              <w:rPr>
                <w:rFonts w:hint="eastAsia"/>
                <w:vertAlign w:val="baseline"/>
                <w:lang w:val="en-US" w:eastAsia="zh-CN"/>
              </w:rPr>
            </w:pPr>
            <w:r>
              <w:rPr>
                <w:rFonts w:hint="default" w:ascii="Arial" w:hAnsi="Arial" w:cs="Arial"/>
                <w:vertAlign w:val="baseline"/>
                <w:lang w:val="en-US" w:eastAsia="zh-CN"/>
              </w:rPr>
              <w:t>×</w:t>
            </w:r>
          </w:p>
        </w:tc>
        <w:tc>
          <w:tcPr>
            <w:tcW w:w="745" w:type="dxa"/>
            <w:vAlign w:val="center"/>
          </w:tcPr>
          <w:p w14:paraId="2E441835">
            <w:pPr>
              <w:jc w:val="center"/>
              <w:rPr>
                <w:rFonts w:hint="eastAsia"/>
                <w:vertAlign w:val="baseline"/>
                <w:lang w:val="en-US" w:eastAsia="zh-CN"/>
              </w:rPr>
            </w:pPr>
          </w:p>
        </w:tc>
        <w:tc>
          <w:tcPr>
            <w:tcW w:w="743" w:type="dxa"/>
            <w:vAlign w:val="center"/>
          </w:tcPr>
          <w:p w14:paraId="5B8E7E35">
            <w:pPr>
              <w:jc w:val="center"/>
              <w:rPr>
                <w:rFonts w:hint="eastAsia"/>
                <w:vertAlign w:val="baseline"/>
                <w:lang w:val="en-US" w:eastAsia="zh-CN"/>
              </w:rPr>
            </w:pPr>
            <w:r>
              <w:rPr>
                <w:rFonts w:hint="default" w:ascii="Arial" w:hAnsi="Arial" w:cs="Arial"/>
                <w:vertAlign w:val="baseline"/>
                <w:lang w:val="en-US" w:eastAsia="zh-CN"/>
              </w:rPr>
              <w:t>×</w:t>
            </w:r>
          </w:p>
        </w:tc>
      </w:tr>
      <w:tr w14:paraId="1A0C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3F2B3E42">
            <w:pPr>
              <w:jc w:val="center"/>
              <w:rPr>
                <w:rFonts w:hint="default"/>
                <w:vertAlign w:val="baseline"/>
                <w:lang w:val="en-US" w:eastAsia="zh-CN"/>
              </w:rPr>
            </w:pPr>
            <w:r>
              <w:rPr>
                <w:rFonts w:hint="eastAsia"/>
                <w:vertAlign w:val="baseline"/>
                <w:lang w:val="en-US" w:eastAsia="zh-CN"/>
              </w:rPr>
              <w:t>2</w:t>
            </w:r>
          </w:p>
        </w:tc>
        <w:tc>
          <w:tcPr>
            <w:tcW w:w="2172" w:type="dxa"/>
            <w:shd w:val="clear" w:color="auto" w:fill="auto"/>
            <w:vAlign w:val="center"/>
          </w:tcPr>
          <w:p w14:paraId="7D22C9FF">
            <w:pPr>
              <w:rPr>
                <w:rFonts w:hint="eastAsia"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YRKK560-6/900KW</w:t>
            </w:r>
          </w:p>
        </w:tc>
        <w:tc>
          <w:tcPr>
            <w:tcW w:w="605" w:type="dxa"/>
            <w:shd w:val="clear" w:color="auto" w:fill="auto"/>
            <w:vAlign w:val="center"/>
          </w:tcPr>
          <w:p w14:paraId="72B7764E">
            <w:pPr>
              <w:jc w:val="center"/>
              <w:rPr>
                <w:rFonts w:hint="eastAsia" w:asciiTheme="minorHAnsi" w:hAnsiTheme="minorHAnsi" w:eastAsiaTheme="minorEastAsia" w:cstheme="minorBidi"/>
                <w:kern w:val="2"/>
                <w:sz w:val="21"/>
                <w:szCs w:val="24"/>
                <w:vertAlign w:val="baseline"/>
                <w:lang w:val="en-US" w:eastAsia="zh-CN" w:bidi="ar-SA"/>
              </w:rPr>
            </w:pPr>
          </w:p>
        </w:tc>
        <w:tc>
          <w:tcPr>
            <w:tcW w:w="727" w:type="dxa"/>
            <w:shd w:val="clear" w:color="auto" w:fill="auto"/>
            <w:vAlign w:val="center"/>
          </w:tcPr>
          <w:p w14:paraId="36DF3C12">
            <w:pPr>
              <w:jc w:val="center"/>
              <w:rPr>
                <w:rFonts w:hint="default" w:asciiTheme="minorHAnsi" w:hAnsiTheme="minorHAnsi" w:eastAsiaTheme="minorEastAsia" w:cstheme="minorBidi"/>
                <w:kern w:val="2"/>
                <w:sz w:val="21"/>
                <w:szCs w:val="24"/>
                <w:vertAlign w:val="baseline"/>
                <w:lang w:val="en-US" w:eastAsia="zh-CN" w:bidi="ar-SA"/>
              </w:rPr>
            </w:pPr>
          </w:p>
        </w:tc>
        <w:tc>
          <w:tcPr>
            <w:tcW w:w="641" w:type="dxa"/>
            <w:vAlign w:val="center"/>
          </w:tcPr>
          <w:p w14:paraId="320E618B">
            <w:pPr>
              <w:jc w:val="center"/>
              <w:rPr>
                <w:rFonts w:hint="default"/>
                <w:vertAlign w:val="baseline"/>
                <w:lang w:val="en-US" w:eastAsia="zh-CN"/>
              </w:rPr>
            </w:pPr>
          </w:p>
        </w:tc>
        <w:tc>
          <w:tcPr>
            <w:tcW w:w="645" w:type="dxa"/>
            <w:vAlign w:val="center"/>
          </w:tcPr>
          <w:p w14:paraId="15563959">
            <w:pPr>
              <w:jc w:val="center"/>
              <w:rPr>
                <w:rFonts w:hint="default"/>
                <w:vertAlign w:val="baseline"/>
                <w:lang w:val="en-US" w:eastAsia="zh-CN"/>
              </w:rPr>
            </w:pPr>
          </w:p>
        </w:tc>
        <w:tc>
          <w:tcPr>
            <w:tcW w:w="588" w:type="dxa"/>
            <w:vAlign w:val="center"/>
          </w:tcPr>
          <w:p w14:paraId="136557AC">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02558870">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4CC7AEBA">
            <w:pPr>
              <w:jc w:val="center"/>
              <w:rPr>
                <w:rFonts w:hint="default"/>
                <w:vertAlign w:val="baseline"/>
                <w:lang w:val="en-US" w:eastAsia="zh-CN"/>
              </w:rPr>
            </w:pPr>
          </w:p>
        </w:tc>
        <w:tc>
          <w:tcPr>
            <w:tcW w:w="741" w:type="dxa"/>
            <w:vAlign w:val="center"/>
          </w:tcPr>
          <w:p w14:paraId="741A8C29">
            <w:pPr>
              <w:jc w:val="center"/>
              <w:rPr>
                <w:rFonts w:hint="default"/>
                <w:vertAlign w:val="baseline"/>
                <w:lang w:val="en-US" w:eastAsia="zh-CN"/>
              </w:rPr>
            </w:pPr>
          </w:p>
        </w:tc>
        <w:tc>
          <w:tcPr>
            <w:tcW w:w="745" w:type="dxa"/>
            <w:vAlign w:val="center"/>
          </w:tcPr>
          <w:p w14:paraId="5F15B7EB">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4EA18D74">
            <w:pPr>
              <w:jc w:val="center"/>
              <w:rPr>
                <w:rFonts w:hint="default"/>
                <w:vertAlign w:val="baseline"/>
                <w:lang w:val="en-US" w:eastAsia="zh-CN"/>
              </w:rPr>
            </w:pPr>
            <w:r>
              <w:rPr>
                <w:rFonts w:hint="default" w:ascii="Arial" w:hAnsi="Arial" w:cs="Arial"/>
                <w:vertAlign w:val="baseline"/>
                <w:lang w:val="en-US" w:eastAsia="zh-CN"/>
              </w:rPr>
              <w:t>×</w:t>
            </w:r>
          </w:p>
        </w:tc>
      </w:tr>
      <w:tr w14:paraId="6376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27E04218">
            <w:pPr>
              <w:jc w:val="center"/>
              <w:rPr>
                <w:rFonts w:hint="default"/>
                <w:vertAlign w:val="baseline"/>
                <w:lang w:val="en-US" w:eastAsia="zh-CN"/>
              </w:rPr>
            </w:pPr>
            <w:r>
              <w:rPr>
                <w:rFonts w:hint="eastAsia"/>
                <w:vertAlign w:val="baseline"/>
                <w:lang w:val="en-US" w:eastAsia="zh-CN"/>
              </w:rPr>
              <w:t>3</w:t>
            </w:r>
          </w:p>
        </w:tc>
        <w:tc>
          <w:tcPr>
            <w:tcW w:w="2172" w:type="dxa"/>
            <w:vAlign w:val="center"/>
          </w:tcPr>
          <w:p w14:paraId="18369CDF">
            <w:pPr>
              <w:rPr>
                <w:rFonts w:hint="default"/>
                <w:vertAlign w:val="baseline"/>
                <w:lang w:val="en-US" w:eastAsia="zh-CN"/>
              </w:rPr>
            </w:pPr>
            <w:r>
              <w:rPr>
                <w:rFonts w:hint="eastAsia"/>
                <w:vertAlign w:val="baseline"/>
                <w:lang w:val="en-US" w:eastAsia="zh-CN"/>
              </w:rPr>
              <w:t>YPTQ500-8/500KW</w:t>
            </w:r>
          </w:p>
        </w:tc>
        <w:tc>
          <w:tcPr>
            <w:tcW w:w="605" w:type="dxa"/>
            <w:vAlign w:val="center"/>
          </w:tcPr>
          <w:p w14:paraId="59C3E8AB">
            <w:pPr>
              <w:jc w:val="center"/>
              <w:rPr>
                <w:rFonts w:hint="default"/>
                <w:vertAlign w:val="baseline"/>
                <w:lang w:val="en-US" w:eastAsia="zh-CN"/>
              </w:rPr>
            </w:pPr>
          </w:p>
        </w:tc>
        <w:tc>
          <w:tcPr>
            <w:tcW w:w="727" w:type="dxa"/>
            <w:vAlign w:val="center"/>
          </w:tcPr>
          <w:p w14:paraId="03685EC4">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3AAD3866">
            <w:pPr>
              <w:jc w:val="center"/>
              <w:rPr>
                <w:rFonts w:hint="default"/>
                <w:vertAlign w:val="baseline"/>
                <w:lang w:val="en-US" w:eastAsia="zh-CN"/>
              </w:rPr>
            </w:pPr>
          </w:p>
        </w:tc>
        <w:tc>
          <w:tcPr>
            <w:tcW w:w="645" w:type="dxa"/>
            <w:vAlign w:val="center"/>
          </w:tcPr>
          <w:p w14:paraId="7386DD77">
            <w:pPr>
              <w:jc w:val="center"/>
              <w:rPr>
                <w:rFonts w:hint="default"/>
                <w:vertAlign w:val="baseline"/>
                <w:lang w:val="en-US" w:eastAsia="zh-CN"/>
              </w:rPr>
            </w:pPr>
          </w:p>
        </w:tc>
        <w:tc>
          <w:tcPr>
            <w:tcW w:w="588" w:type="dxa"/>
            <w:vAlign w:val="center"/>
          </w:tcPr>
          <w:p w14:paraId="4ABC4C15">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5A94A324">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0B24D4A9">
            <w:pPr>
              <w:jc w:val="center"/>
              <w:rPr>
                <w:rFonts w:hint="default"/>
                <w:vertAlign w:val="baseline"/>
                <w:lang w:val="en-US" w:eastAsia="zh-CN"/>
              </w:rPr>
            </w:pPr>
          </w:p>
        </w:tc>
        <w:tc>
          <w:tcPr>
            <w:tcW w:w="741" w:type="dxa"/>
            <w:vAlign w:val="center"/>
          </w:tcPr>
          <w:p w14:paraId="5F58A33A">
            <w:pPr>
              <w:jc w:val="center"/>
              <w:rPr>
                <w:rFonts w:hint="default"/>
                <w:vertAlign w:val="baseline"/>
                <w:lang w:val="en-US" w:eastAsia="zh-CN"/>
              </w:rPr>
            </w:pPr>
          </w:p>
        </w:tc>
        <w:tc>
          <w:tcPr>
            <w:tcW w:w="745" w:type="dxa"/>
            <w:vAlign w:val="center"/>
          </w:tcPr>
          <w:p w14:paraId="7EFF9751">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7DE7B5BE">
            <w:pPr>
              <w:jc w:val="center"/>
              <w:rPr>
                <w:rFonts w:hint="default"/>
                <w:vertAlign w:val="baseline"/>
                <w:lang w:val="en-US" w:eastAsia="zh-CN"/>
              </w:rPr>
            </w:pPr>
          </w:p>
        </w:tc>
      </w:tr>
      <w:tr w14:paraId="067A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5B9DE71D">
            <w:pPr>
              <w:jc w:val="center"/>
              <w:rPr>
                <w:rFonts w:hint="default"/>
                <w:vertAlign w:val="baseline"/>
                <w:lang w:val="en-US" w:eastAsia="zh-CN"/>
              </w:rPr>
            </w:pPr>
            <w:r>
              <w:rPr>
                <w:rFonts w:hint="eastAsia"/>
                <w:vertAlign w:val="baseline"/>
                <w:lang w:val="en-US" w:eastAsia="zh-CN"/>
              </w:rPr>
              <w:t>4</w:t>
            </w:r>
          </w:p>
        </w:tc>
        <w:tc>
          <w:tcPr>
            <w:tcW w:w="2172" w:type="dxa"/>
            <w:vAlign w:val="center"/>
          </w:tcPr>
          <w:p w14:paraId="681B8C8F">
            <w:pPr>
              <w:rPr>
                <w:rFonts w:hint="default"/>
                <w:vertAlign w:val="baseline"/>
                <w:lang w:val="en-US" w:eastAsia="zh-CN"/>
              </w:rPr>
            </w:pPr>
            <w:r>
              <w:rPr>
                <w:rFonts w:hint="eastAsia"/>
                <w:vertAlign w:val="baseline"/>
                <w:lang w:val="en-US" w:eastAsia="zh-CN"/>
              </w:rPr>
              <w:t>YSBPKK400-6/315KW</w:t>
            </w:r>
          </w:p>
        </w:tc>
        <w:tc>
          <w:tcPr>
            <w:tcW w:w="605" w:type="dxa"/>
            <w:vAlign w:val="center"/>
          </w:tcPr>
          <w:p w14:paraId="13B8EB91">
            <w:pPr>
              <w:jc w:val="center"/>
              <w:rPr>
                <w:rFonts w:hint="default"/>
                <w:vertAlign w:val="baseline"/>
                <w:lang w:val="en-US" w:eastAsia="zh-CN"/>
              </w:rPr>
            </w:pPr>
          </w:p>
        </w:tc>
        <w:tc>
          <w:tcPr>
            <w:tcW w:w="727" w:type="dxa"/>
            <w:vAlign w:val="center"/>
          </w:tcPr>
          <w:p w14:paraId="0CD54054">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2BAFBB98">
            <w:pPr>
              <w:jc w:val="center"/>
              <w:rPr>
                <w:rFonts w:hint="default"/>
                <w:vertAlign w:val="baseline"/>
                <w:lang w:val="en-US" w:eastAsia="zh-CN"/>
              </w:rPr>
            </w:pPr>
          </w:p>
        </w:tc>
        <w:tc>
          <w:tcPr>
            <w:tcW w:w="645" w:type="dxa"/>
            <w:vAlign w:val="center"/>
          </w:tcPr>
          <w:p w14:paraId="2F4301BA">
            <w:pPr>
              <w:jc w:val="center"/>
              <w:rPr>
                <w:rFonts w:hint="default"/>
                <w:vertAlign w:val="baseline"/>
                <w:lang w:val="en-US" w:eastAsia="zh-CN"/>
              </w:rPr>
            </w:pPr>
          </w:p>
        </w:tc>
        <w:tc>
          <w:tcPr>
            <w:tcW w:w="588" w:type="dxa"/>
            <w:vAlign w:val="center"/>
          </w:tcPr>
          <w:p w14:paraId="2456A263">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5599F10F">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3A3AD4C8">
            <w:pPr>
              <w:jc w:val="center"/>
              <w:rPr>
                <w:rFonts w:hint="default"/>
                <w:vertAlign w:val="baseline"/>
                <w:lang w:val="en-US" w:eastAsia="zh-CN"/>
              </w:rPr>
            </w:pPr>
          </w:p>
        </w:tc>
        <w:tc>
          <w:tcPr>
            <w:tcW w:w="741" w:type="dxa"/>
            <w:vAlign w:val="center"/>
          </w:tcPr>
          <w:p w14:paraId="1EF98BBD">
            <w:pPr>
              <w:jc w:val="center"/>
              <w:rPr>
                <w:rFonts w:hint="default"/>
                <w:vertAlign w:val="baseline"/>
                <w:lang w:val="en-US" w:eastAsia="zh-CN"/>
              </w:rPr>
            </w:pPr>
          </w:p>
        </w:tc>
        <w:tc>
          <w:tcPr>
            <w:tcW w:w="745" w:type="dxa"/>
            <w:vAlign w:val="center"/>
          </w:tcPr>
          <w:p w14:paraId="5EC48A30">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6BB6C27E">
            <w:pPr>
              <w:jc w:val="center"/>
              <w:rPr>
                <w:rFonts w:hint="default"/>
                <w:vertAlign w:val="baseline"/>
                <w:lang w:val="en-US" w:eastAsia="zh-CN"/>
              </w:rPr>
            </w:pPr>
          </w:p>
        </w:tc>
      </w:tr>
      <w:tr w14:paraId="764B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vAlign w:val="center"/>
          </w:tcPr>
          <w:p w14:paraId="4A46E126">
            <w:pPr>
              <w:jc w:val="center"/>
              <w:rPr>
                <w:rFonts w:hint="default"/>
                <w:vertAlign w:val="baseline"/>
                <w:lang w:val="en-US" w:eastAsia="zh-CN"/>
              </w:rPr>
            </w:pPr>
            <w:r>
              <w:rPr>
                <w:rFonts w:hint="eastAsia"/>
                <w:vertAlign w:val="baseline"/>
                <w:lang w:val="en-US" w:eastAsia="zh-CN"/>
              </w:rPr>
              <w:t>5</w:t>
            </w:r>
          </w:p>
        </w:tc>
        <w:tc>
          <w:tcPr>
            <w:tcW w:w="2172" w:type="dxa"/>
            <w:vAlign w:val="center"/>
          </w:tcPr>
          <w:p w14:paraId="063E1AD2">
            <w:pPr>
              <w:rPr>
                <w:rFonts w:hint="eastAsia"/>
                <w:vertAlign w:val="baseline"/>
                <w:lang w:val="en-US" w:eastAsia="zh-CN"/>
              </w:rPr>
            </w:pPr>
            <w:r>
              <w:rPr>
                <w:rFonts w:hint="eastAsia"/>
                <w:vertAlign w:val="baseline"/>
                <w:lang w:val="en-US" w:eastAsia="zh-CN"/>
              </w:rPr>
              <w:t>1MCD400-6DP80-</w:t>
            </w:r>
          </w:p>
          <w:p w14:paraId="7063525F">
            <w:pPr>
              <w:rPr>
                <w:rFonts w:hint="default"/>
                <w:vertAlign w:val="baseline"/>
                <w:lang w:val="en-US" w:eastAsia="zh-CN"/>
              </w:rPr>
            </w:pPr>
            <w:r>
              <w:rPr>
                <w:rFonts w:hint="eastAsia"/>
                <w:vertAlign w:val="baseline"/>
                <w:lang w:val="en-US" w:eastAsia="zh-CN"/>
              </w:rPr>
              <w:t>0CA3-Z/450KW</w:t>
            </w:r>
          </w:p>
        </w:tc>
        <w:tc>
          <w:tcPr>
            <w:tcW w:w="605" w:type="dxa"/>
            <w:vAlign w:val="center"/>
          </w:tcPr>
          <w:p w14:paraId="0A319E9A">
            <w:pPr>
              <w:jc w:val="center"/>
              <w:rPr>
                <w:rFonts w:hint="default"/>
                <w:vertAlign w:val="baseline"/>
                <w:lang w:val="en-US" w:eastAsia="zh-CN"/>
              </w:rPr>
            </w:pPr>
          </w:p>
        </w:tc>
        <w:tc>
          <w:tcPr>
            <w:tcW w:w="727" w:type="dxa"/>
            <w:vAlign w:val="center"/>
          </w:tcPr>
          <w:p w14:paraId="56158509">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0E110EE5">
            <w:pPr>
              <w:jc w:val="center"/>
              <w:rPr>
                <w:rFonts w:hint="default"/>
                <w:vertAlign w:val="baseline"/>
                <w:lang w:val="en-US" w:eastAsia="zh-CN"/>
              </w:rPr>
            </w:pPr>
          </w:p>
        </w:tc>
        <w:tc>
          <w:tcPr>
            <w:tcW w:w="645" w:type="dxa"/>
            <w:vAlign w:val="center"/>
          </w:tcPr>
          <w:p w14:paraId="3C07B537">
            <w:pPr>
              <w:jc w:val="center"/>
              <w:rPr>
                <w:rFonts w:hint="default"/>
                <w:vertAlign w:val="baseline"/>
                <w:lang w:val="en-US" w:eastAsia="zh-CN"/>
              </w:rPr>
            </w:pPr>
          </w:p>
        </w:tc>
        <w:tc>
          <w:tcPr>
            <w:tcW w:w="588" w:type="dxa"/>
            <w:vAlign w:val="center"/>
          </w:tcPr>
          <w:p w14:paraId="105F9195">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130000FC">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2DED8595">
            <w:pPr>
              <w:jc w:val="center"/>
              <w:rPr>
                <w:rFonts w:hint="default"/>
                <w:vertAlign w:val="baseline"/>
                <w:lang w:val="en-US" w:eastAsia="zh-CN"/>
              </w:rPr>
            </w:pPr>
          </w:p>
        </w:tc>
        <w:tc>
          <w:tcPr>
            <w:tcW w:w="741" w:type="dxa"/>
            <w:vAlign w:val="center"/>
          </w:tcPr>
          <w:p w14:paraId="2AFBA35B">
            <w:pPr>
              <w:jc w:val="center"/>
              <w:rPr>
                <w:rFonts w:hint="default"/>
                <w:vertAlign w:val="baseline"/>
                <w:lang w:val="en-US" w:eastAsia="zh-CN"/>
              </w:rPr>
            </w:pPr>
          </w:p>
        </w:tc>
        <w:tc>
          <w:tcPr>
            <w:tcW w:w="745" w:type="dxa"/>
            <w:vAlign w:val="center"/>
          </w:tcPr>
          <w:p w14:paraId="7CF563A9">
            <w:pPr>
              <w:jc w:val="center"/>
              <w:rPr>
                <w:rFonts w:hint="default"/>
                <w:vertAlign w:val="baseline"/>
                <w:lang w:val="en-US" w:eastAsia="zh-CN"/>
              </w:rPr>
            </w:pPr>
            <w:r>
              <w:rPr>
                <w:rFonts w:hint="default" w:ascii="Arial" w:hAnsi="Arial" w:cs="Arial"/>
                <w:vertAlign w:val="baseline"/>
                <w:lang w:val="en-US" w:eastAsia="zh-CN"/>
              </w:rPr>
              <w:t>×</w:t>
            </w:r>
          </w:p>
        </w:tc>
        <w:tc>
          <w:tcPr>
            <w:tcW w:w="743" w:type="dxa"/>
            <w:vAlign w:val="center"/>
          </w:tcPr>
          <w:p w14:paraId="6B1A292B">
            <w:pPr>
              <w:jc w:val="center"/>
              <w:rPr>
                <w:rFonts w:hint="default"/>
                <w:vertAlign w:val="baseline"/>
                <w:lang w:val="en-US" w:eastAsia="zh-CN"/>
              </w:rPr>
            </w:pPr>
            <w:r>
              <w:rPr>
                <w:rFonts w:hint="default" w:ascii="Arial" w:hAnsi="Arial" w:cs="Arial"/>
                <w:vertAlign w:val="baseline"/>
                <w:lang w:val="en-US" w:eastAsia="zh-CN"/>
              </w:rPr>
              <w:t>×</w:t>
            </w:r>
          </w:p>
        </w:tc>
      </w:tr>
      <w:tr w14:paraId="5FEE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dxa"/>
            <w:vAlign w:val="center"/>
          </w:tcPr>
          <w:p w14:paraId="1C5F7D50">
            <w:pPr>
              <w:jc w:val="center"/>
              <w:rPr>
                <w:rFonts w:hint="default"/>
                <w:vertAlign w:val="baseline"/>
                <w:lang w:val="en-US" w:eastAsia="zh-CN"/>
              </w:rPr>
            </w:pPr>
            <w:r>
              <w:rPr>
                <w:rFonts w:hint="eastAsia"/>
                <w:vertAlign w:val="baseline"/>
                <w:lang w:val="en-US" w:eastAsia="zh-CN"/>
              </w:rPr>
              <w:t>6</w:t>
            </w:r>
          </w:p>
        </w:tc>
        <w:tc>
          <w:tcPr>
            <w:tcW w:w="2172" w:type="dxa"/>
            <w:vAlign w:val="center"/>
          </w:tcPr>
          <w:p w14:paraId="0CD18013">
            <w:pPr>
              <w:rPr>
                <w:rFonts w:hint="eastAsia"/>
                <w:vertAlign w:val="baseline"/>
                <w:lang w:val="en-US" w:eastAsia="zh-CN"/>
              </w:rPr>
            </w:pPr>
            <w:r>
              <w:rPr>
                <w:rFonts w:hint="eastAsia"/>
                <w:vertAlign w:val="baseline"/>
                <w:lang w:val="en-US" w:eastAsia="zh-CN"/>
              </w:rPr>
              <w:t>YSBPKK450-4/710KW</w:t>
            </w:r>
          </w:p>
          <w:p w14:paraId="01E64D29">
            <w:pPr>
              <w:rPr>
                <w:rFonts w:hint="default"/>
                <w:vertAlign w:val="baseline"/>
                <w:lang w:val="en-US" w:eastAsia="zh-CN"/>
              </w:rPr>
            </w:pPr>
            <w:r>
              <w:rPr>
                <w:rFonts w:hint="eastAsia"/>
                <w:vertAlign w:val="baseline"/>
                <w:lang w:val="en-US" w:eastAsia="zh-CN"/>
              </w:rPr>
              <w:t>YSPKK450-4/710KW</w:t>
            </w:r>
          </w:p>
        </w:tc>
        <w:tc>
          <w:tcPr>
            <w:tcW w:w="605" w:type="dxa"/>
            <w:vAlign w:val="center"/>
          </w:tcPr>
          <w:p w14:paraId="34AF3D87">
            <w:pPr>
              <w:jc w:val="center"/>
              <w:rPr>
                <w:rFonts w:hint="default"/>
                <w:vertAlign w:val="baseline"/>
                <w:lang w:val="en-US" w:eastAsia="zh-CN"/>
              </w:rPr>
            </w:pPr>
          </w:p>
        </w:tc>
        <w:tc>
          <w:tcPr>
            <w:tcW w:w="727" w:type="dxa"/>
            <w:vAlign w:val="center"/>
          </w:tcPr>
          <w:p w14:paraId="29FB2E01">
            <w:pPr>
              <w:jc w:val="center"/>
              <w:rPr>
                <w:rFonts w:hint="eastAsia"/>
                <w:vertAlign w:val="baseline"/>
                <w:lang w:val="en-US" w:eastAsia="zh-CN"/>
              </w:rPr>
            </w:pPr>
            <w:r>
              <w:rPr>
                <w:rFonts w:hint="default" w:ascii="Arial" w:hAnsi="Arial" w:cs="Arial"/>
                <w:vertAlign w:val="baseline"/>
                <w:lang w:val="en-US" w:eastAsia="zh-CN"/>
              </w:rPr>
              <w:t>×</w:t>
            </w:r>
          </w:p>
        </w:tc>
        <w:tc>
          <w:tcPr>
            <w:tcW w:w="641" w:type="dxa"/>
            <w:vAlign w:val="center"/>
          </w:tcPr>
          <w:p w14:paraId="6DDE7B73">
            <w:pPr>
              <w:jc w:val="center"/>
              <w:rPr>
                <w:rFonts w:hint="default"/>
                <w:vertAlign w:val="baseline"/>
                <w:lang w:val="en-US" w:eastAsia="zh-CN"/>
              </w:rPr>
            </w:pPr>
          </w:p>
        </w:tc>
        <w:tc>
          <w:tcPr>
            <w:tcW w:w="645" w:type="dxa"/>
            <w:vAlign w:val="center"/>
          </w:tcPr>
          <w:p w14:paraId="514ED323">
            <w:pPr>
              <w:jc w:val="center"/>
              <w:rPr>
                <w:rFonts w:hint="default"/>
                <w:vertAlign w:val="baseline"/>
                <w:lang w:val="en-US" w:eastAsia="zh-CN"/>
              </w:rPr>
            </w:pPr>
          </w:p>
        </w:tc>
        <w:tc>
          <w:tcPr>
            <w:tcW w:w="588" w:type="dxa"/>
            <w:vAlign w:val="center"/>
          </w:tcPr>
          <w:p w14:paraId="41F90B90">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616C2D79">
            <w:pPr>
              <w:jc w:val="center"/>
              <w:rPr>
                <w:rFonts w:hint="eastAsia"/>
                <w:vertAlign w:val="baseline"/>
                <w:lang w:val="en-US" w:eastAsia="zh-CN"/>
              </w:rPr>
            </w:pPr>
            <w:r>
              <w:rPr>
                <w:rFonts w:hint="default" w:ascii="Arial" w:hAnsi="Arial" w:cs="Arial"/>
                <w:vertAlign w:val="baseline"/>
                <w:lang w:val="en-US" w:eastAsia="zh-CN"/>
              </w:rPr>
              <w:t>×</w:t>
            </w:r>
          </w:p>
        </w:tc>
        <w:tc>
          <w:tcPr>
            <w:tcW w:w="741" w:type="dxa"/>
            <w:vAlign w:val="center"/>
          </w:tcPr>
          <w:p w14:paraId="337B0726">
            <w:pPr>
              <w:jc w:val="center"/>
              <w:rPr>
                <w:rFonts w:hint="default"/>
                <w:vertAlign w:val="baseline"/>
                <w:lang w:val="en-US" w:eastAsia="zh-CN"/>
              </w:rPr>
            </w:pPr>
          </w:p>
        </w:tc>
        <w:tc>
          <w:tcPr>
            <w:tcW w:w="741" w:type="dxa"/>
            <w:vAlign w:val="center"/>
          </w:tcPr>
          <w:p w14:paraId="5CDBC3F7">
            <w:pPr>
              <w:jc w:val="center"/>
              <w:rPr>
                <w:rFonts w:hint="default"/>
                <w:vertAlign w:val="baseline"/>
                <w:lang w:val="en-US" w:eastAsia="zh-CN"/>
              </w:rPr>
            </w:pPr>
          </w:p>
        </w:tc>
        <w:tc>
          <w:tcPr>
            <w:tcW w:w="745" w:type="dxa"/>
            <w:vAlign w:val="center"/>
          </w:tcPr>
          <w:p w14:paraId="0F7BA2D2">
            <w:pPr>
              <w:jc w:val="center"/>
              <w:rPr>
                <w:rFonts w:hint="default"/>
                <w:vertAlign w:val="baseline"/>
                <w:lang w:val="en-US" w:eastAsia="zh-CN"/>
              </w:rPr>
            </w:pPr>
            <w:r>
              <w:rPr>
                <w:rFonts w:hint="default" w:ascii="Arial" w:hAnsi="Arial" w:cs="Arial"/>
                <w:vertAlign w:val="baseline"/>
                <w:lang w:val="en-US" w:eastAsia="zh-CN"/>
              </w:rPr>
              <w:t>×</w:t>
            </w:r>
          </w:p>
        </w:tc>
        <w:tc>
          <w:tcPr>
            <w:tcW w:w="743" w:type="dxa"/>
            <w:shd w:val="clear" w:color="auto" w:fill="auto"/>
            <w:vAlign w:val="center"/>
          </w:tcPr>
          <w:p w14:paraId="5C7C0A77">
            <w:pPr>
              <w:jc w:val="center"/>
              <w:rPr>
                <w:rFonts w:hint="default" w:asciiTheme="minorHAnsi" w:hAnsiTheme="minorHAnsi" w:eastAsiaTheme="minorEastAsia" w:cstheme="minorBidi"/>
                <w:kern w:val="2"/>
                <w:sz w:val="21"/>
                <w:szCs w:val="22"/>
                <w:vertAlign w:val="baseline"/>
                <w:lang w:val="en-US" w:eastAsia="zh-CN" w:bidi="ar-SA"/>
              </w:rPr>
            </w:pPr>
          </w:p>
        </w:tc>
      </w:tr>
    </w:tbl>
    <w:p w14:paraId="3289BD71">
      <w:pPr>
        <w:autoSpaceDE w:val="0"/>
        <w:autoSpaceDN w:val="0"/>
        <w:adjustRightInd w:val="0"/>
        <w:snapToGrid w:val="0"/>
        <w:spacing w:line="360" w:lineRule="auto"/>
        <w:rPr>
          <w:rFonts w:hint="default" w:eastAsia="宋体" w:cs="仿宋"/>
          <w:u w:val="single"/>
          <w:lang w:val="en-US" w:eastAsia="zh-CN"/>
        </w:rPr>
      </w:pPr>
      <w:r>
        <w:rPr>
          <w:rFonts w:hint="eastAsia" w:cs="仿宋"/>
          <w:lang w:val="en-US" w:eastAsia="zh-CN"/>
        </w:rPr>
        <w:t>合计：</w:t>
      </w:r>
      <w:r>
        <w:rPr>
          <w:rFonts w:hint="eastAsia" w:cs="仿宋"/>
          <w:u w:val="single"/>
          <w:lang w:val="en-US" w:eastAsia="zh-CN"/>
        </w:rPr>
        <w:t xml:space="preserve">             元，大写：           ，</w:t>
      </w:r>
      <w:r>
        <w:rPr>
          <w:rFonts w:hint="eastAsia" w:cs="仿宋"/>
          <w:u w:val="none"/>
          <w:lang w:val="en-US" w:eastAsia="zh-CN"/>
        </w:rPr>
        <w:t>单次维修周期</w:t>
      </w:r>
      <w:r>
        <w:rPr>
          <w:rFonts w:hint="eastAsia" w:cs="仿宋"/>
          <w:u w:val="single"/>
          <w:lang w:val="en-US" w:eastAsia="zh-CN"/>
        </w:rPr>
        <w:t xml:space="preserve">     </w:t>
      </w:r>
      <w:r>
        <w:rPr>
          <w:rFonts w:hint="eastAsia" w:cs="仿宋"/>
          <w:u w:val="none"/>
          <w:lang w:val="en-US" w:eastAsia="zh-CN"/>
        </w:rPr>
        <w:t>日历天。</w:t>
      </w:r>
    </w:p>
    <w:p w14:paraId="7EF63C91">
      <w:pPr>
        <w:pStyle w:val="45"/>
        <w:rPr>
          <w:rFonts w:hint="eastAsia"/>
        </w:rPr>
      </w:pPr>
    </w:p>
    <w:p w14:paraId="2F7C0FC5">
      <w:pPr>
        <w:autoSpaceDE w:val="0"/>
        <w:autoSpaceDN w:val="0"/>
        <w:adjustRightInd w:val="0"/>
        <w:snapToGrid w:val="0"/>
        <w:spacing w:line="360" w:lineRule="auto"/>
        <w:ind w:firstLine="4560" w:firstLineChars="1900"/>
        <w:rPr>
          <w:rFonts w:hint="eastAsia" w:cs="仿宋"/>
        </w:rPr>
      </w:pPr>
      <w:r>
        <w:rPr>
          <w:rFonts w:hint="eastAsia" w:cs="仿宋"/>
        </w:rPr>
        <w:t>投标人：（盖单位章）</w:t>
      </w:r>
    </w:p>
    <w:p w14:paraId="0353720C">
      <w:pPr>
        <w:spacing w:line="360" w:lineRule="auto"/>
        <w:ind w:firstLine="4560" w:firstLineChars="1900"/>
        <w:rPr>
          <w:rFonts w:hint="eastAsia" w:cs="仿宋"/>
        </w:rPr>
      </w:pPr>
      <w:r>
        <w:rPr>
          <w:rFonts w:hint="eastAsia" w:cs="仿宋"/>
        </w:rPr>
        <w:t>法定代表人或其委托代理人：（签字）</w:t>
      </w:r>
    </w:p>
    <w:p w14:paraId="1F592654">
      <w:pPr>
        <w:spacing w:line="360" w:lineRule="auto"/>
        <w:ind w:firstLine="6960" w:firstLineChars="2900"/>
        <w:rPr>
          <w:rFonts w:hint="eastAsia" w:cs="仿宋"/>
        </w:rPr>
      </w:pPr>
      <w:r>
        <w:rPr>
          <w:rFonts w:hint="eastAsia" w:cs="仿宋"/>
        </w:rPr>
        <w:t>年  月  日</w:t>
      </w:r>
    </w:p>
    <w:p w14:paraId="0653DB6D">
      <w:pPr>
        <w:autoSpaceDE w:val="0"/>
        <w:autoSpaceDN w:val="0"/>
        <w:adjustRightInd w:val="0"/>
        <w:snapToGrid w:val="0"/>
        <w:spacing w:line="360" w:lineRule="auto"/>
        <w:rPr>
          <w:rFonts w:cs="仿宋"/>
        </w:rPr>
      </w:pPr>
    </w:p>
    <w:p w14:paraId="520AB0F8">
      <w:pPr>
        <w:spacing w:line="360" w:lineRule="auto"/>
        <w:jc w:val="center"/>
        <w:rPr>
          <w:rFonts w:hint="eastAsia" w:cs="仿宋"/>
          <w:b/>
        </w:rPr>
      </w:pPr>
    </w:p>
    <w:p w14:paraId="6FA688FB">
      <w:pPr>
        <w:spacing w:line="360" w:lineRule="auto"/>
        <w:jc w:val="center"/>
        <w:rPr>
          <w:rFonts w:hint="eastAsia" w:cs="仿宋"/>
          <w:b/>
        </w:rPr>
      </w:pPr>
    </w:p>
    <w:p w14:paraId="0BA11D74">
      <w:pPr>
        <w:spacing w:line="360" w:lineRule="auto"/>
        <w:jc w:val="center"/>
        <w:rPr>
          <w:rFonts w:hint="eastAsia" w:cs="仿宋"/>
          <w:b/>
        </w:rPr>
      </w:pPr>
    </w:p>
    <w:p w14:paraId="6B54D86D">
      <w:pPr>
        <w:spacing w:line="360" w:lineRule="auto"/>
        <w:jc w:val="center"/>
        <w:rPr>
          <w:rFonts w:hint="eastAsia" w:cs="仿宋"/>
          <w:b/>
        </w:rPr>
      </w:pPr>
    </w:p>
    <w:p w14:paraId="701F7E41">
      <w:pPr>
        <w:pStyle w:val="45"/>
        <w:ind w:left="480" w:firstLine="480"/>
      </w:pPr>
      <w:r>
        <w:br w:type="page"/>
      </w:r>
    </w:p>
    <w:p w14:paraId="69AE8C73">
      <w:pPr>
        <w:pStyle w:val="59"/>
      </w:pPr>
      <w:bookmarkStart w:id="196" w:name="_Toc16334_WPSOffice_Level1"/>
      <w:bookmarkStart w:id="197" w:name="_Toc1630_WPSOffice_Level1"/>
      <w:bookmarkStart w:id="198" w:name="_Toc508871759"/>
      <w:bookmarkStart w:id="199" w:name="_Toc506105880"/>
      <w:bookmarkStart w:id="200" w:name="_Toc391556619"/>
      <w:bookmarkStart w:id="201" w:name="_Toc352160855"/>
      <w:r>
        <w:rPr>
          <w:rFonts w:hint="eastAsia"/>
        </w:rPr>
        <w:t>7、商务或技术偏差表</w:t>
      </w:r>
      <w:bookmarkEnd w:id="196"/>
      <w:bookmarkEnd w:id="197"/>
      <w:bookmarkEnd w:id="198"/>
    </w:p>
    <w:p w14:paraId="551CD6CC">
      <w:pPr>
        <w:spacing w:line="360" w:lineRule="auto"/>
        <w:jc w:val="center"/>
        <w:rPr>
          <w:rFonts w:cs="仿宋"/>
          <w:b/>
        </w:rPr>
      </w:pPr>
      <w:r>
        <w:rPr>
          <w:rFonts w:hint="eastAsia" w:cs="仿宋"/>
          <w:b/>
        </w:rPr>
        <w:t>商务或技术偏差表</w:t>
      </w:r>
    </w:p>
    <w:tbl>
      <w:tblPr>
        <w:tblStyle w:val="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4"/>
        <w:gridCol w:w="1331"/>
        <w:gridCol w:w="992"/>
        <w:gridCol w:w="2551"/>
        <w:gridCol w:w="1985"/>
        <w:gridCol w:w="1417"/>
      </w:tblGrid>
      <w:tr w14:paraId="41483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restart"/>
            <w:tcBorders>
              <w:top w:val="single" w:color="000000" w:sz="4" w:space="0"/>
              <w:left w:val="single" w:color="000000" w:sz="4" w:space="0"/>
              <w:bottom w:val="single" w:color="000000" w:sz="4" w:space="0"/>
              <w:right w:val="single" w:color="000000" w:sz="4" w:space="0"/>
            </w:tcBorders>
            <w:noWrap w:val="0"/>
            <w:vAlign w:val="center"/>
          </w:tcPr>
          <w:p w14:paraId="434E77B4">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商务或技术偏差</w:t>
            </w: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6C03DBC0">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条目</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C10CE38">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页码</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740DB1EE">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招标文件规定</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825863E">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偏差</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6BB1A094">
            <w:pPr>
              <w:overflowPunct w:val="0"/>
              <w:topLinePunct/>
              <w:spacing w:line="360" w:lineRule="auto"/>
              <w:ind w:right="14"/>
              <w:jc w:val="center"/>
              <w:rPr>
                <w:rFonts w:ascii="仿宋" w:hAnsi="仿宋" w:eastAsia="仿宋" w:cs="仿宋"/>
                <w:position w:val="-9"/>
              </w:rPr>
            </w:pPr>
            <w:r>
              <w:rPr>
                <w:rFonts w:hint="eastAsia" w:ascii="仿宋" w:hAnsi="仿宋" w:eastAsia="仿宋" w:cs="仿宋"/>
                <w:position w:val="-9"/>
              </w:rPr>
              <w:t>备注</w:t>
            </w:r>
          </w:p>
        </w:tc>
      </w:tr>
      <w:tr w14:paraId="3CD2C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D99FC">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1E145A69">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75D388E">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5BE4EEA8">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67EF6F1F">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1671701">
            <w:pPr>
              <w:overflowPunct w:val="0"/>
              <w:topLinePunct/>
              <w:spacing w:line="360" w:lineRule="auto"/>
              <w:ind w:right="14"/>
              <w:jc w:val="center"/>
              <w:rPr>
                <w:rFonts w:ascii="仿宋" w:hAnsi="仿宋" w:eastAsia="仿宋" w:cs="仿宋"/>
                <w:position w:val="-9"/>
              </w:rPr>
            </w:pPr>
          </w:p>
        </w:tc>
      </w:tr>
      <w:tr w14:paraId="4AFEC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E13281">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68E60DF9">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A9B28FB">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08C7DE82">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07625F47">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517EA908">
            <w:pPr>
              <w:overflowPunct w:val="0"/>
              <w:topLinePunct/>
              <w:spacing w:line="360" w:lineRule="auto"/>
              <w:ind w:right="14"/>
              <w:jc w:val="center"/>
              <w:rPr>
                <w:rFonts w:ascii="仿宋" w:hAnsi="仿宋" w:eastAsia="仿宋" w:cs="仿宋"/>
                <w:position w:val="-9"/>
              </w:rPr>
            </w:pPr>
          </w:p>
        </w:tc>
      </w:tr>
      <w:tr w14:paraId="1AC96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658784">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0121F7F1">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FD98F1C">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43685A41">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E7084BA">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5F76F8C">
            <w:pPr>
              <w:overflowPunct w:val="0"/>
              <w:topLinePunct/>
              <w:spacing w:line="360" w:lineRule="auto"/>
              <w:ind w:right="14"/>
              <w:jc w:val="center"/>
              <w:rPr>
                <w:rFonts w:ascii="仿宋" w:hAnsi="仿宋" w:eastAsia="仿宋" w:cs="仿宋"/>
                <w:position w:val="-9"/>
              </w:rPr>
            </w:pPr>
          </w:p>
        </w:tc>
      </w:tr>
      <w:tr w14:paraId="725A7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66D0D">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3985CB97">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AB24975">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43178ECC">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0317467C">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4D04769C">
            <w:pPr>
              <w:overflowPunct w:val="0"/>
              <w:topLinePunct/>
              <w:spacing w:line="360" w:lineRule="auto"/>
              <w:ind w:right="14"/>
              <w:jc w:val="center"/>
              <w:rPr>
                <w:rFonts w:ascii="仿宋" w:hAnsi="仿宋" w:eastAsia="仿宋" w:cs="仿宋"/>
                <w:position w:val="-9"/>
              </w:rPr>
            </w:pPr>
          </w:p>
        </w:tc>
      </w:tr>
      <w:tr w14:paraId="67BDA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4F80CD">
            <w:pPr>
              <w:spacing w:line="360" w:lineRule="auto"/>
              <w:rPr>
                <w:rFonts w:ascii="仿宋" w:hAnsi="仿宋" w:eastAsia="仿宋" w:cs="仿宋"/>
                <w:position w:val="-9"/>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7D4AD92D">
            <w:pPr>
              <w:overflowPunct w:val="0"/>
              <w:topLinePunct/>
              <w:spacing w:line="360" w:lineRule="auto"/>
              <w:ind w:right="14"/>
              <w:jc w:val="center"/>
              <w:rPr>
                <w:rFonts w:ascii="仿宋" w:hAnsi="仿宋" w:eastAsia="仿宋" w:cs="仿宋"/>
                <w:position w:val="-9"/>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5CA41BD">
            <w:pPr>
              <w:overflowPunct w:val="0"/>
              <w:topLinePunct/>
              <w:spacing w:line="360" w:lineRule="auto"/>
              <w:ind w:right="14"/>
              <w:jc w:val="center"/>
              <w:rPr>
                <w:rFonts w:ascii="仿宋" w:hAnsi="仿宋" w:eastAsia="仿宋" w:cs="仿宋"/>
                <w:position w:val="-9"/>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7B8DCC62">
            <w:pPr>
              <w:overflowPunct w:val="0"/>
              <w:topLinePunct/>
              <w:spacing w:line="360" w:lineRule="auto"/>
              <w:ind w:right="14"/>
              <w:jc w:val="center"/>
              <w:rPr>
                <w:rFonts w:ascii="仿宋" w:hAnsi="仿宋" w:eastAsia="仿宋" w:cs="仿宋"/>
                <w:position w:val="-9"/>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14EBF25D">
            <w:pPr>
              <w:overflowPunct w:val="0"/>
              <w:topLinePunct/>
              <w:spacing w:line="360" w:lineRule="auto"/>
              <w:ind w:right="14"/>
              <w:jc w:val="center"/>
              <w:rPr>
                <w:rFonts w:ascii="仿宋" w:hAnsi="仿宋" w:eastAsia="仿宋" w:cs="仿宋"/>
                <w:position w:val="-9"/>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7D87704B">
            <w:pPr>
              <w:overflowPunct w:val="0"/>
              <w:topLinePunct/>
              <w:spacing w:line="360" w:lineRule="auto"/>
              <w:ind w:right="14"/>
              <w:jc w:val="center"/>
              <w:rPr>
                <w:rFonts w:ascii="仿宋" w:hAnsi="仿宋" w:eastAsia="仿宋" w:cs="仿宋"/>
                <w:position w:val="-9"/>
              </w:rPr>
            </w:pPr>
          </w:p>
        </w:tc>
      </w:tr>
    </w:tbl>
    <w:p w14:paraId="66601E0E">
      <w:pPr>
        <w:spacing w:line="360" w:lineRule="auto"/>
        <w:ind w:firstLine="160" w:firstLineChars="67"/>
        <w:rPr>
          <w:rFonts w:ascii="仿宋" w:hAnsi="仿宋" w:eastAsia="仿宋" w:cs="仿宋"/>
        </w:rPr>
      </w:pPr>
      <w:r>
        <w:rPr>
          <w:rFonts w:hint="eastAsia" w:cs="仿宋"/>
        </w:rPr>
        <w:t>注：若无商务或技术偏差，本表可不填。</w:t>
      </w:r>
    </w:p>
    <w:p w14:paraId="14CEDD45">
      <w:pPr>
        <w:spacing w:line="360" w:lineRule="auto"/>
        <w:ind w:firstLine="4560" w:firstLineChars="1900"/>
        <w:rPr>
          <w:rFonts w:hint="eastAsia" w:cs="仿宋"/>
        </w:rPr>
      </w:pPr>
      <w:r>
        <w:rPr>
          <w:rFonts w:hint="eastAsia" w:cs="仿宋"/>
        </w:rPr>
        <w:t>投标人：（盖单位章）</w:t>
      </w:r>
    </w:p>
    <w:p w14:paraId="60120C3C">
      <w:pPr>
        <w:spacing w:line="360" w:lineRule="auto"/>
        <w:ind w:firstLine="4560" w:firstLineChars="1900"/>
        <w:rPr>
          <w:rFonts w:hint="eastAsia" w:cs="仿宋"/>
        </w:rPr>
      </w:pPr>
      <w:r>
        <w:rPr>
          <w:rFonts w:hint="eastAsia" w:cs="仿宋"/>
        </w:rPr>
        <w:t>法定代表人或其委托代理人：（签字）</w:t>
      </w:r>
    </w:p>
    <w:p w14:paraId="280C3B7D">
      <w:pPr>
        <w:spacing w:line="360" w:lineRule="auto"/>
        <w:ind w:firstLine="4560" w:firstLineChars="1900"/>
        <w:rPr>
          <w:rFonts w:hint="eastAsia" w:cs="仿宋"/>
        </w:rPr>
      </w:pPr>
      <w:r>
        <w:rPr>
          <w:rFonts w:hint="eastAsia" w:cs="仿宋"/>
        </w:rPr>
        <w:t>年月日</w:t>
      </w:r>
    </w:p>
    <w:p w14:paraId="1A04C8B1">
      <w:pPr>
        <w:spacing w:line="360" w:lineRule="auto"/>
        <w:ind w:firstLine="6960" w:firstLineChars="2900"/>
        <w:rPr>
          <w:rFonts w:ascii="仿宋" w:hAnsi="仿宋" w:eastAsia="仿宋" w:cs="仿宋"/>
        </w:rPr>
      </w:pPr>
    </w:p>
    <w:p w14:paraId="407B8752">
      <w:pPr>
        <w:pStyle w:val="59"/>
        <w:jc w:val="center"/>
      </w:pPr>
    </w:p>
    <w:p w14:paraId="2206DD6E">
      <w:pPr>
        <w:pStyle w:val="59"/>
        <w:jc w:val="center"/>
        <w:rPr>
          <w:rFonts w:hint="eastAsia"/>
        </w:rPr>
      </w:pPr>
      <w:bookmarkStart w:id="202" w:name="_Toc508871760"/>
    </w:p>
    <w:p w14:paraId="0F212A36">
      <w:pPr>
        <w:pStyle w:val="59"/>
        <w:rPr>
          <w:rFonts w:hint="eastAsia"/>
        </w:rPr>
      </w:pPr>
      <w:bookmarkStart w:id="203" w:name="_Toc27227_WPSOffice_Level1"/>
      <w:bookmarkStart w:id="204" w:name="_Toc31960_WPSOffice_Level1"/>
      <w:r>
        <w:rPr>
          <w:rFonts w:hint="eastAsia"/>
          <w:lang w:val="en-US" w:eastAsia="zh-CN"/>
        </w:rPr>
        <w:t>8</w:t>
      </w:r>
      <w:r>
        <w:rPr>
          <w:rFonts w:hint="eastAsia"/>
        </w:rPr>
        <w:t>、投标人认为应补充的其他资料</w:t>
      </w:r>
      <w:bookmarkEnd w:id="199"/>
      <w:bookmarkEnd w:id="200"/>
      <w:bookmarkEnd w:id="201"/>
      <w:bookmarkEnd w:id="202"/>
      <w:bookmarkEnd w:id="203"/>
      <w:bookmarkEnd w:id="204"/>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楷体_GB2312">
    <w:panose1 w:val="02010609030101010101"/>
    <w:charset w:val="86"/>
    <w:family w:val="auto"/>
    <w:pitch w:val="default"/>
    <w:sig w:usb0="00000001" w:usb1="080E0000" w:usb2="00000000" w:usb3="00000000" w:csb0="00040000" w:csb1="00000000"/>
  </w:font>
  <w:font w:name="iconfon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379ED">
    <w:pPr>
      <w:pStyle w:val="29"/>
      <w:tabs>
        <w:tab w:val="clear" w:pos="4153"/>
        <w:tab w:val="clear" w:pos="8306"/>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5C6640">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F5C6640">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66398">
    <w:pPr>
      <w:pStyle w:val="29"/>
      <w:tabs>
        <w:tab w:val="clear" w:pos="4153"/>
        <w:tab w:val="clear" w:pos="8306"/>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FD5523">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8FD5523">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3E455">
    <w:pPr>
      <w:pStyle w:val="29"/>
      <w:framePr w:wrap="around" w:vAnchor="text" w:hAnchor="margin" w:xAlign="center" w:y="1"/>
      <w:rPr>
        <w:rStyle w:val="50"/>
      </w:rPr>
    </w:pPr>
    <w:r>
      <w:fldChar w:fldCharType="begin"/>
    </w:r>
    <w:r>
      <w:rPr>
        <w:rStyle w:val="50"/>
      </w:rPr>
      <w:instrText xml:space="preserve">PAGE  </w:instrText>
    </w:r>
    <w:r>
      <w:fldChar w:fldCharType="separate"/>
    </w:r>
    <w:r>
      <w:rPr>
        <w:rStyle w:val="50"/>
      </w:rPr>
      <w:t>25</w:t>
    </w:r>
    <w:r>
      <w:fldChar w:fldCharType="end"/>
    </w:r>
  </w:p>
  <w:p w14:paraId="3F32FF81">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D2D31">
    <w:pPr>
      <w:pStyle w:val="29"/>
      <w:framePr w:wrap="around" w:vAnchor="text" w:hAnchor="margin" w:xAlign="center" w:y="1"/>
      <w:rPr>
        <w:rStyle w:val="50"/>
      </w:rPr>
    </w:pPr>
    <w:r>
      <w:fldChar w:fldCharType="begin"/>
    </w:r>
    <w:r>
      <w:rPr>
        <w:rStyle w:val="50"/>
      </w:rPr>
      <w:instrText xml:space="preserve">PAGE  </w:instrText>
    </w:r>
    <w:r>
      <w:fldChar w:fldCharType="end"/>
    </w:r>
  </w:p>
  <w:p w14:paraId="603034FF">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9C3DD">
    <w:pPr>
      <w:rPr>
        <w:sz w:val="2"/>
        <w:szCs w:val="2"/>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3C74E">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13C74E">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3813175</wp:posOffset>
              </wp:positionH>
              <wp:positionV relativeFrom="page">
                <wp:posOffset>9673590</wp:posOffset>
              </wp:positionV>
              <wp:extent cx="114935" cy="15494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54940"/>
                      </a:xfrm>
                      <a:prstGeom prst="rect">
                        <a:avLst/>
                      </a:prstGeom>
                      <a:noFill/>
                      <a:ln>
                        <a:noFill/>
                      </a:ln>
                      <a:effectLst/>
                    </wps:spPr>
                    <wps:txbx>
                      <w:txbxContent>
                        <w:p w14:paraId="7F1E5074"/>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300.25pt;margin-top:761.7pt;height:12.2pt;width:9.05pt;mso-position-horizontal-relative:page;mso-position-vertical-relative:page;mso-wrap-style:none;z-index:-251657216;mso-width-relative:page;mso-height-relative:page;" filled="f" stroked="f" coordsize="21600,21600" o:gfxdata="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KtlEfYAAAADQEAAA8AAAAAAAAAAQAg&#10;AAAAIgAAAGRycy9kb3ducmV2LnhtbFBLAQIUABQAAAAIAIdO4kBScHXYDgIAABAEAAAOAAAAAAAA&#10;AAEAIAAAACcBAABkcnMvZTJvRG9jLnhtbFBLBQYAAAAABgAGAFkBAACnBQAAAAA=&#10;">
              <v:fill on="f" focussize="0,0"/>
              <v:stroke on="f"/>
              <v:imagedata o:title=""/>
              <o:lock v:ext="edit" aspectratio="f"/>
              <v:textbox inset="0mm,0mm,0mm,0mm" style="mso-fit-shape-to-text:t;">
                <w:txbxContent>
                  <w:p w14:paraId="7F1E5074"/>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9C47D">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56FE51"/>
    <w:multiLevelType w:val="singleLevel"/>
    <w:tmpl w:val="AE56FE51"/>
    <w:lvl w:ilvl="0" w:tentative="0">
      <w:start w:val="4"/>
      <w:numFmt w:val="decimal"/>
      <w:suff w:val="nothing"/>
      <w:lvlText w:val="%1、"/>
      <w:lvlJc w:val="left"/>
      <w:pPr>
        <w:ind w:left="0" w:firstLine="40"/>
      </w:pPr>
      <w:rPr>
        <w:rFonts w:hint="default"/>
      </w:rPr>
    </w:lvl>
  </w:abstractNum>
  <w:abstractNum w:abstractNumId="1">
    <w:nsid w:val="0000000E"/>
    <w:multiLevelType w:val="multilevel"/>
    <w:tmpl w:val="0000000E"/>
    <w:lvl w:ilvl="0" w:tentative="0">
      <w:start w:val="1"/>
      <w:numFmt w:val="decimal"/>
      <w:pStyle w:val="68"/>
      <w:lvlText w:val="（%1）"/>
      <w:lvlJc w:val="left"/>
      <w:pPr>
        <w:tabs>
          <w:tab w:val="left" w:pos="1200"/>
        </w:tabs>
        <w:ind w:left="1200" w:hanging="720"/>
      </w:pPr>
      <w:rPr>
        <w:rFonts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2">
    <w:nsid w:val="3BCE0B65"/>
    <w:multiLevelType w:val="singleLevel"/>
    <w:tmpl w:val="3BCE0B65"/>
    <w:lvl w:ilvl="0" w:tentative="0">
      <w:start w:val="2"/>
      <w:numFmt w:val="decimal"/>
      <w:suff w:val="nothing"/>
      <w:lvlText w:val="%1、"/>
      <w:lvlJc w:val="left"/>
    </w:lvl>
  </w:abstractNum>
  <w:abstractNum w:abstractNumId="3">
    <w:nsid w:val="6760E10A"/>
    <w:multiLevelType w:val="singleLevel"/>
    <w:tmpl w:val="6760E10A"/>
    <w:lvl w:ilvl="0" w:tentative="0">
      <w:start w:val="3"/>
      <w:numFmt w:val="chineseCounting"/>
      <w:suff w:val="nothing"/>
      <w:lvlText w:val="%1、"/>
      <w:lvlJc w:val="left"/>
      <w:rPr>
        <w:rFonts w:hint="eastAsia"/>
      </w:rPr>
    </w:lvl>
  </w:abstractNum>
  <w:abstractNum w:abstractNumId="4">
    <w:nsid w:val="6F5097FE"/>
    <w:multiLevelType w:val="singleLevel"/>
    <w:tmpl w:val="6F5097FE"/>
    <w:lvl w:ilvl="0" w:tentative="0">
      <w:start w:val="1"/>
      <w:numFmt w:val="decimal"/>
      <w:suff w:val="nothing"/>
      <w:lvlText w:val="%1"/>
      <w:lvlJc w:val="left"/>
      <w:pPr>
        <w:tabs>
          <w:tab w:val="left" w:pos="0"/>
        </w:tabs>
        <w:ind w:left="0" w:firstLine="0"/>
      </w:pPr>
      <w:rPr>
        <w:rFonts w:hint="default"/>
      </w:rPr>
    </w:lvl>
  </w:abstractNum>
  <w:num w:numId="1">
    <w:abstractNumId w:val="1"/>
    <w:lvlOverride w:ilvl="0">
      <w:startOverride w:val="1"/>
    </w:lvlOverride>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xMjkzYWNlZTUyOWJkNzc0NWJhZjZjMGI2ODk4NTQifQ=="/>
  </w:docVars>
  <w:rsids>
    <w:rsidRoot w:val="00FA4DEE"/>
    <w:rsid w:val="000005B4"/>
    <w:rsid w:val="00000B07"/>
    <w:rsid w:val="00000E24"/>
    <w:rsid w:val="000010DF"/>
    <w:rsid w:val="000014B1"/>
    <w:rsid w:val="00001C2B"/>
    <w:rsid w:val="00001D8C"/>
    <w:rsid w:val="00001E66"/>
    <w:rsid w:val="00002256"/>
    <w:rsid w:val="000024DC"/>
    <w:rsid w:val="00002E3C"/>
    <w:rsid w:val="00003011"/>
    <w:rsid w:val="000031D6"/>
    <w:rsid w:val="00003666"/>
    <w:rsid w:val="0000484B"/>
    <w:rsid w:val="000051FA"/>
    <w:rsid w:val="00005213"/>
    <w:rsid w:val="00005803"/>
    <w:rsid w:val="00005A71"/>
    <w:rsid w:val="00005FC3"/>
    <w:rsid w:val="00006271"/>
    <w:rsid w:val="00006372"/>
    <w:rsid w:val="00006892"/>
    <w:rsid w:val="00006945"/>
    <w:rsid w:val="00006966"/>
    <w:rsid w:val="00006B71"/>
    <w:rsid w:val="00006D24"/>
    <w:rsid w:val="000072D9"/>
    <w:rsid w:val="000073CB"/>
    <w:rsid w:val="000073D1"/>
    <w:rsid w:val="00007405"/>
    <w:rsid w:val="000101F6"/>
    <w:rsid w:val="00010A4A"/>
    <w:rsid w:val="00010A4D"/>
    <w:rsid w:val="00010AD0"/>
    <w:rsid w:val="00010EDF"/>
    <w:rsid w:val="00011002"/>
    <w:rsid w:val="00011034"/>
    <w:rsid w:val="0001111F"/>
    <w:rsid w:val="000119AF"/>
    <w:rsid w:val="00011BE9"/>
    <w:rsid w:val="00011D0F"/>
    <w:rsid w:val="00011F0A"/>
    <w:rsid w:val="000124CC"/>
    <w:rsid w:val="0001256A"/>
    <w:rsid w:val="0001262C"/>
    <w:rsid w:val="000129F7"/>
    <w:rsid w:val="00013001"/>
    <w:rsid w:val="00013B10"/>
    <w:rsid w:val="00013F9F"/>
    <w:rsid w:val="00014073"/>
    <w:rsid w:val="00014717"/>
    <w:rsid w:val="00014DFC"/>
    <w:rsid w:val="00014E31"/>
    <w:rsid w:val="00014F89"/>
    <w:rsid w:val="000151C5"/>
    <w:rsid w:val="00015261"/>
    <w:rsid w:val="00015339"/>
    <w:rsid w:val="000156FA"/>
    <w:rsid w:val="00016615"/>
    <w:rsid w:val="000169BE"/>
    <w:rsid w:val="00016C2E"/>
    <w:rsid w:val="00016C4E"/>
    <w:rsid w:val="0001748F"/>
    <w:rsid w:val="000175FA"/>
    <w:rsid w:val="0001776E"/>
    <w:rsid w:val="00017B32"/>
    <w:rsid w:val="00020002"/>
    <w:rsid w:val="0002010A"/>
    <w:rsid w:val="000201A4"/>
    <w:rsid w:val="000209E9"/>
    <w:rsid w:val="00020DBF"/>
    <w:rsid w:val="000211EE"/>
    <w:rsid w:val="00021419"/>
    <w:rsid w:val="00021B05"/>
    <w:rsid w:val="00021BC9"/>
    <w:rsid w:val="00021DF2"/>
    <w:rsid w:val="0002202B"/>
    <w:rsid w:val="00022932"/>
    <w:rsid w:val="00022B1F"/>
    <w:rsid w:val="00022DE5"/>
    <w:rsid w:val="00022EB3"/>
    <w:rsid w:val="00022F46"/>
    <w:rsid w:val="0002305E"/>
    <w:rsid w:val="000230C1"/>
    <w:rsid w:val="000236BD"/>
    <w:rsid w:val="00023805"/>
    <w:rsid w:val="000239BC"/>
    <w:rsid w:val="00023B44"/>
    <w:rsid w:val="00023F4A"/>
    <w:rsid w:val="000245CE"/>
    <w:rsid w:val="00024793"/>
    <w:rsid w:val="00024F92"/>
    <w:rsid w:val="000253BA"/>
    <w:rsid w:val="00025B4E"/>
    <w:rsid w:val="00025F21"/>
    <w:rsid w:val="00025F90"/>
    <w:rsid w:val="000260D0"/>
    <w:rsid w:val="00026533"/>
    <w:rsid w:val="00026F5F"/>
    <w:rsid w:val="00027362"/>
    <w:rsid w:val="000274FA"/>
    <w:rsid w:val="0002763D"/>
    <w:rsid w:val="000276E8"/>
    <w:rsid w:val="000276FC"/>
    <w:rsid w:val="00027ABD"/>
    <w:rsid w:val="00027DCE"/>
    <w:rsid w:val="000300CF"/>
    <w:rsid w:val="00030F35"/>
    <w:rsid w:val="000318B3"/>
    <w:rsid w:val="00031D68"/>
    <w:rsid w:val="00032074"/>
    <w:rsid w:val="000324A6"/>
    <w:rsid w:val="000324AA"/>
    <w:rsid w:val="00032E07"/>
    <w:rsid w:val="00033272"/>
    <w:rsid w:val="00033311"/>
    <w:rsid w:val="0003338B"/>
    <w:rsid w:val="00033BDB"/>
    <w:rsid w:val="00033C6E"/>
    <w:rsid w:val="0003492D"/>
    <w:rsid w:val="00034A63"/>
    <w:rsid w:val="00034DEE"/>
    <w:rsid w:val="00034FFC"/>
    <w:rsid w:val="000353DA"/>
    <w:rsid w:val="00035C79"/>
    <w:rsid w:val="00035C9A"/>
    <w:rsid w:val="00035E61"/>
    <w:rsid w:val="00036284"/>
    <w:rsid w:val="0003636D"/>
    <w:rsid w:val="00036D78"/>
    <w:rsid w:val="00037101"/>
    <w:rsid w:val="00037517"/>
    <w:rsid w:val="00037943"/>
    <w:rsid w:val="00037EEC"/>
    <w:rsid w:val="00040399"/>
    <w:rsid w:val="000409A2"/>
    <w:rsid w:val="00040EFC"/>
    <w:rsid w:val="00041534"/>
    <w:rsid w:val="00041906"/>
    <w:rsid w:val="00041AA5"/>
    <w:rsid w:val="00041EC7"/>
    <w:rsid w:val="000421BC"/>
    <w:rsid w:val="0004256B"/>
    <w:rsid w:val="000426FA"/>
    <w:rsid w:val="0004298A"/>
    <w:rsid w:val="00042A76"/>
    <w:rsid w:val="0004304B"/>
    <w:rsid w:val="00043229"/>
    <w:rsid w:val="00043394"/>
    <w:rsid w:val="00043424"/>
    <w:rsid w:val="0004381E"/>
    <w:rsid w:val="00043A30"/>
    <w:rsid w:val="00043BDE"/>
    <w:rsid w:val="00043C75"/>
    <w:rsid w:val="00043F14"/>
    <w:rsid w:val="000444A8"/>
    <w:rsid w:val="00044689"/>
    <w:rsid w:val="000462DC"/>
    <w:rsid w:val="0004667B"/>
    <w:rsid w:val="00047032"/>
    <w:rsid w:val="0005080F"/>
    <w:rsid w:val="00050C85"/>
    <w:rsid w:val="0005130E"/>
    <w:rsid w:val="000514BD"/>
    <w:rsid w:val="00051C2F"/>
    <w:rsid w:val="00051E12"/>
    <w:rsid w:val="00051E9A"/>
    <w:rsid w:val="000521A6"/>
    <w:rsid w:val="000525A2"/>
    <w:rsid w:val="00052C17"/>
    <w:rsid w:val="00052D23"/>
    <w:rsid w:val="00052D74"/>
    <w:rsid w:val="00052E51"/>
    <w:rsid w:val="00052F08"/>
    <w:rsid w:val="00053732"/>
    <w:rsid w:val="00053929"/>
    <w:rsid w:val="00053C48"/>
    <w:rsid w:val="00053D7C"/>
    <w:rsid w:val="00053FBC"/>
    <w:rsid w:val="00054583"/>
    <w:rsid w:val="000547CE"/>
    <w:rsid w:val="00054842"/>
    <w:rsid w:val="00054C75"/>
    <w:rsid w:val="00054DB3"/>
    <w:rsid w:val="0005555E"/>
    <w:rsid w:val="000562FE"/>
    <w:rsid w:val="0005634E"/>
    <w:rsid w:val="000573D9"/>
    <w:rsid w:val="00057665"/>
    <w:rsid w:val="00057BB7"/>
    <w:rsid w:val="0006062A"/>
    <w:rsid w:val="00060A40"/>
    <w:rsid w:val="00060A6D"/>
    <w:rsid w:val="00060CC6"/>
    <w:rsid w:val="000613F2"/>
    <w:rsid w:val="000615FB"/>
    <w:rsid w:val="00061E0C"/>
    <w:rsid w:val="000620CB"/>
    <w:rsid w:val="000631EA"/>
    <w:rsid w:val="0006350A"/>
    <w:rsid w:val="000637A3"/>
    <w:rsid w:val="00063ED9"/>
    <w:rsid w:val="00064071"/>
    <w:rsid w:val="000645F0"/>
    <w:rsid w:val="0006460A"/>
    <w:rsid w:val="00064ABE"/>
    <w:rsid w:val="00064C17"/>
    <w:rsid w:val="00064C96"/>
    <w:rsid w:val="00064CBA"/>
    <w:rsid w:val="00065387"/>
    <w:rsid w:val="00065623"/>
    <w:rsid w:val="00065720"/>
    <w:rsid w:val="000659B8"/>
    <w:rsid w:val="00065A50"/>
    <w:rsid w:val="00065C47"/>
    <w:rsid w:val="00066077"/>
    <w:rsid w:val="00066222"/>
    <w:rsid w:val="00066368"/>
    <w:rsid w:val="000664F0"/>
    <w:rsid w:val="00067088"/>
    <w:rsid w:val="000672B7"/>
    <w:rsid w:val="000679AF"/>
    <w:rsid w:val="0007029A"/>
    <w:rsid w:val="000703F0"/>
    <w:rsid w:val="000707EC"/>
    <w:rsid w:val="00070B46"/>
    <w:rsid w:val="00070C0E"/>
    <w:rsid w:val="00071720"/>
    <w:rsid w:val="00071C07"/>
    <w:rsid w:val="00071E56"/>
    <w:rsid w:val="00071EFD"/>
    <w:rsid w:val="000721AC"/>
    <w:rsid w:val="000723E7"/>
    <w:rsid w:val="0007243E"/>
    <w:rsid w:val="0007252B"/>
    <w:rsid w:val="00072F21"/>
    <w:rsid w:val="000740A0"/>
    <w:rsid w:val="00074319"/>
    <w:rsid w:val="0007515A"/>
    <w:rsid w:val="0007569B"/>
    <w:rsid w:val="00075E72"/>
    <w:rsid w:val="00076696"/>
    <w:rsid w:val="00076784"/>
    <w:rsid w:val="00076A01"/>
    <w:rsid w:val="0007712C"/>
    <w:rsid w:val="00077199"/>
    <w:rsid w:val="00077219"/>
    <w:rsid w:val="00077707"/>
    <w:rsid w:val="00077B3C"/>
    <w:rsid w:val="00077DE9"/>
    <w:rsid w:val="00077F52"/>
    <w:rsid w:val="00080A0F"/>
    <w:rsid w:val="00080C1F"/>
    <w:rsid w:val="00080DF8"/>
    <w:rsid w:val="000811DE"/>
    <w:rsid w:val="000814AE"/>
    <w:rsid w:val="000819D7"/>
    <w:rsid w:val="00081BCB"/>
    <w:rsid w:val="00082122"/>
    <w:rsid w:val="00082397"/>
    <w:rsid w:val="000834C0"/>
    <w:rsid w:val="000834C8"/>
    <w:rsid w:val="000838D8"/>
    <w:rsid w:val="00083B20"/>
    <w:rsid w:val="00083E3B"/>
    <w:rsid w:val="000841E8"/>
    <w:rsid w:val="00084696"/>
    <w:rsid w:val="00084B4A"/>
    <w:rsid w:val="00084B75"/>
    <w:rsid w:val="00084BB8"/>
    <w:rsid w:val="00084F26"/>
    <w:rsid w:val="00085201"/>
    <w:rsid w:val="00085C66"/>
    <w:rsid w:val="00085D47"/>
    <w:rsid w:val="000864C0"/>
    <w:rsid w:val="0008686F"/>
    <w:rsid w:val="00086E57"/>
    <w:rsid w:val="00087001"/>
    <w:rsid w:val="00087057"/>
    <w:rsid w:val="0008760A"/>
    <w:rsid w:val="000877D4"/>
    <w:rsid w:val="0008782C"/>
    <w:rsid w:val="00087A10"/>
    <w:rsid w:val="00087E6C"/>
    <w:rsid w:val="00087E81"/>
    <w:rsid w:val="00090628"/>
    <w:rsid w:val="00090A40"/>
    <w:rsid w:val="000914C3"/>
    <w:rsid w:val="00091880"/>
    <w:rsid w:val="00091925"/>
    <w:rsid w:val="00091AA0"/>
    <w:rsid w:val="00092168"/>
    <w:rsid w:val="0009277E"/>
    <w:rsid w:val="0009301A"/>
    <w:rsid w:val="0009326F"/>
    <w:rsid w:val="00093436"/>
    <w:rsid w:val="00093B80"/>
    <w:rsid w:val="00094023"/>
    <w:rsid w:val="0009438B"/>
    <w:rsid w:val="000945CB"/>
    <w:rsid w:val="00094646"/>
    <w:rsid w:val="0009475E"/>
    <w:rsid w:val="00094AD9"/>
    <w:rsid w:val="00094B44"/>
    <w:rsid w:val="00094B60"/>
    <w:rsid w:val="00095147"/>
    <w:rsid w:val="00095A42"/>
    <w:rsid w:val="00095BB3"/>
    <w:rsid w:val="00095D9E"/>
    <w:rsid w:val="00095E23"/>
    <w:rsid w:val="000960A9"/>
    <w:rsid w:val="00096353"/>
    <w:rsid w:val="00096E8D"/>
    <w:rsid w:val="00097A77"/>
    <w:rsid w:val="000A06F4"/>
    <w:rsid w:val="000A06F5"/>
    <w:rsid w:val="000A0911"/>
    <w:rsid w:val="000A1081"/>
    <w:rsid w:val="000A1F8C"/>
    <w:rsid w:val="000A20A7"/>
    <w:rsid w:val="000A261D"/>
    <w:rsid w:val="000A2869"/>
    <w:rsid w:val="000A29ED"/>
    <w:rsid w:val="000A2A5D"/>
    <w:rsid w:val="000A2E62"/>
    <w:rsid w:val="000A326B"/>
    <w:rsid w:val="000A3734"/>
    <w:rsid w:val="000A3AB5"/>
    <w:rsid w:val="000A3D0F"/>
    <w:rsid w:val="000A46D4"/>
    <w:rsid w:val="000A4DC6"/>
    <w:rsid w:val="000A4F3F"/>
    <w:rsid w:val="000A4F88"/>
    <w:rsid w:val="000A506A"/>
    <w:rsid w:val="000A50F5"/>
    <w:rsid w:val="000A5370"/>
    <w:rsid w:val="000A53B9"/>
    <w:rsid w:val="000A5AC8"/>
    <w:rsid w:val="000A5AF9"/>
    <w:rsid w:val="000A5BAB"/>
    <w:rsid w:val="000A6117"/>
    <w:rsid w:val="000A6201"/>
    <w:rsid w:val="000A6844"/>
    <w:rsid w:val="000A6A9C"/>
    <w:rsid w:val="000A6D77"/>
    <w:rsid w:val="000A726F"/>
    <w:rsid w:val="000A73A2"/>
    <w:rsid w:val="000A7604"/>
    <w:rsid w:val="000A7813"/>
    <w:rsid w:val="000A7974"/>
    <w:rsid w:val="000A79CA"/>
    <w:rsid w:val="000A7EA0"/>
    <w:rsid w:val="000B037C"/>
    <w:rsid w:val="000B050B"/>
    <w:rsid w:val="000B0946"/>
    <w:rsid w:val="000B1546"/>
    <w:rsid w:val="000B1701"/>
    <w:rsid w:val="000B1F4F"/>
    <w:rsid w:val="000B21E4"/>
    <w:rsid w:val="000B227F"/>
    <w:rsid w:val="000B22C3"/>
    <w:rsid w:val="000B2468"/>
    <w:rsid w:val="000B268C"/>
    <w:rsid w:val="000B2B89"/>
    <w:rsid w:val="000B2B8D"/>
    <w:rsid w:val="000B2D19"/>
    <w:rsid w:val="000B3B9F"/>
    <w:rsid w:val="000B3C03"/>
    <w:rsid w:val="000B404E"/>
    <w:rsid w:val="000B4988"/>
    <w:rsid w:val="000B4C24"/>
    <w:rsid w:val="000B4ED7"/>
    <w:rsid w:val="000B5116"/>
    <w:rsid w:val="000B5577"/>
    <w:rsid w:val="000B65DE"/>
    <w:rsid w:val="000B683E"/>
    <w:rsid w:val="000B70FA"/>
    <w:rsid w:val="000B755C"/>
    <w:rsid w:val="000B7914"/>
    <w:rsid w:val="000B7B75"/>
    <w:rsid w:val="000B7E2A"/>
    <w:rsid w:val="000C04D0"/>
    <w:rsid w:val="000C0578"/>
    <w:rsid w:val="000C0832"/>
    <w:rsid w:val="000C08D7"/>
    <w:rsid w:val="000C0C99"/>
    <w:rsid w:val="000C1291"/>
    <w:rsid w:val="000C14EB"/>
    <w:rsid w:val="000C3081"/>
    <w:rsid w:val="000C30DB"/>
    <w:rsid w:val="000C3492"/>
    <w:rsid w:val="000C36A7"/>
    <w:rsid w:val="000C36D1"/>
    <w:rsid w:val="000C3781"/>
    <w:rsid w:val="000C4265"/>
    <w:rsid w:val="000C4B0D"/>
    <w:rsid w:val="000C4C1A"/>
    <w:rsid w:val="000C4F67"/>
    <w:rsid w:val="000C514B"/>
    <w:rsid w:val="000C52AD"/>
    <w:rsid w:val="000C56B0"/>
    <w:rsid w:val="000C5E39"/>
    <w:rsid w:val="000C6219"/>
    <w:rsid w:val="000C6470"/>
    <w:rsid w:val="000C6492"/>
    <w:rsid w:val="000C7488"/>
    <w:rsid w:val="000C7805"/>
    <w:rsid w:val="000C78F9"/>
    <w:rsid w:val="000C79F7"/>
    <w:rsid w:val="000C7EDB"/>
    <w:rsid w:val="000C7F13"/>
    <w:rsid w:val="000D01DF"/>
    <w:rsid w:val="000D02E8"/>
    <w:rsid w:val="000D0A1B"/>
    <w:rsid w:val="000D14F6"/>
    <w:rsid w:val="000D1A7E"/>
    <w:rsid w:val="000D1CE2"/>
    <w:rsid w:val="000D1E32"/>
    <w:rsid w:val="000D1EF0"/>
    <w:rsid w:val="000D2266"/>
    <w:rsid w:val="000D2272"/>
    <w:rsid w:val="000D26C3"/>
    <w:rsid w:val="000D289B"/>
    <w:rsid w:val="000D2A49"/>
    <w:rsid w:val="000D2A73"/>
    <w:rsid w:val="000D38FA"/>
    <w:rsid w:val="000D3A96"/>
    <w:rsid w:val="000D3B1B"/>
    <w:rsid w:val="000D41E3"/>
    <w:rsid w:val="000D48A0"/>
    <w:rsid w:val="000D5749"/>
    <w:rsid w:val="000D601F"/>
    <w:rsid w:val="000D6112"/>
    <w:rsid w:val="000D680B"/>
    <w:rsid w:val="000D69EA"/>
    <w:rsid w:val="000D6EEC"/>
    <w:rsid w:val="000D73D2"/>
    <w:rsid w:val="000D7472"/>
    <w:rsid w:val="000D787D"/>
    <w:rsid w:val="000D7C5C"/>
    <w:rsid w:val="000D7ECD"/>
    <w:rsid w:val="000E11D3"/>
    <w:rsid w:val="000E1B84"/>
    <w:rsid w:val="000E1BA3"/>
    <w:rsid w:val="000E295A"/>
    <w:rsid w:val="000E2ADD"/>
    <w:rsid w:val="000E2B82"/>
    <w:rsid w:val="000E2D1A"/>
    <w:rsid w:val="000E3193"/>
    <w:rsid w:val="000E3605"/>
    <w:rsid w:val="000E3C9C"/>
    <w:rsid w:val="000E4370"/>
    <w:rsid w:val="000E4997"/>
    <w:rsid w:val="000E4B9E"/>
    <w:rsid w:val="000E4F2E"/>
    <w:rsid w:val="000E5390"/>
    <w:rsid w:val="000E5789"/>
    <w:rsid w:val="000E6355"/>
    <w:rsid w:val="000E63FA"/>
    <w:rsid w:val="000E64FC"/>
    <w:rsid w:val="000E65C5"/>
    <w:rsid w:val="000E6910"/>
    <w:rsid w:val="000E6D1D"/>
    <w:rsid w:val="000E6EC5"/>
    <w:rsid w:val="000E7036"/>
    <w:rsid w:val="000E7523"/>
    <w:rsid w:val="000E7682"/>
    <w:rsid w:val="000E7F3E"/>
    <w:rsid w:val="000F0044"/>
    <w:rsid w:val="000F058A"/>
    <w:rsid w:val="000F13FA"/>
    <w:rsid w:val="000F1896"/>
    <w:rsid w:val="000F1BC0"/>
    <w:rsid w:val="000F2772"/>
    <w:rsid w:val="000F28A6"/>
    <w:rsid w:val="000F2F36"/>
    <w:rsid w:val="000F3419"/>
    <w:rsid w:val="000F3456"/>
    <w:rsid w:val="000F34AC"/>
    <w:rsid w:val="000F386D"/>
    <w:rsid w:val="000F3F9F"/>
    <w:rsid w:val="000F4270"/>
    <w:rsid w:val="000F4722"/>
    <w:rsid w:val="000F4BBB"/>
    <w:rsid w:val="000F50A6"/>
    <w:rsid w:val="000F53A3"/>
    <w:rsid w:val="000F53B6"/>
    <w:rsid w:val="000F6143"/>
    <w:rsid w:val="000F621B"/>
    <w:rsid w:val="000F7234"/>
    <w:rsid w:val="000F7544"/>
    <w:rsid w:val="00100045"/>
    <w:rsid w:val="001009C2"/>
    <w:rsid w:val="00100AFB"/>
    <w:rsid w:val="00100E0F"/>
    <w:rsid w:val="00102401"/>
    <w:rsid w:val="001025F7"/>
    <w:rsid w:val="001029E2"/>
    <w:rsid w:val="00102A9D"/>
    <w:rsid w:val="00102E6F"/>
    <w:rsid w:val="00103037"/>
    <w:rsid w:val="001046D3"/>
    <w:rsid w:val="0010495C"/>
    <w:rsid w:val="001055B7"/>
    <w:rsid w:val="00105C65"/>
    <w:rsid w:val="0010635E"/>
    <w:rsid w:val="00106400"/>
    <w:rsid w:val="00106508"/>
    <w:rsid w:val="001067BD"/>
    <w:rsid w:val="0010681D"/>
    <w:rsid w:val="001068E3"/>
    <w:rsid w:val="001069D1"/>
    <w:rsid w:val="00106FA2"/>
    <w:rsid w:val="001071D5"/>
    <w:rsid w:val="001072A0"/>
    <w:rsid w:val="0010732A"/>
    <w:rsid w:val="001074EC"/>
    <w:rsid w:val="0010757E"/>
    <w:rsid w:val="0010766C"/>
    <w:rsid w:val="0011113E"/>
    <w:rsid w:val="0011143F"/>
    <w:rsid w:val="00111B8E"/>
    <w:rsid w:val="00111D39"/>
    <w:rsid w:val="0011215C"/>
    <w:rsid w:val="00112288"/>
    <w:rsid w:val="001124AA"/>
    <w:rsid w:val="001124B4"/>
    <w:rsid w:val="0011322D"/>
    <w:rsid w:val="00113242"/>
    <w:rsid w:val="0011327A"/>
    <w:rsid w:val="00113526"/>
    <w:rsid w:val="001135A9"/>
    <w:rsid w:val="00113A65"/>
    <w:rsid w:val="001147B6"/>
    <w:rsid w:val="00114A09"/>
    <w:rsid w:val="00114AB5"/>
    <w:rsid w:val="00114CBA"/>
    <w:rsid w:val="001156A6"/>
    <w:rsid w:val="00115953"/>
    <w:rsid w:val="00115ED3"/>
    <w:rsid w:val="0011701F"/>
    <w:rsid w:val="001173E2"/>
    <w:rsid w:val="00117582"/>
    <w:rsid w:val="0011772F"/>
    <w:rsid w:val="0011777A"/>
    <w:rsid w:val="00117E0C"/>
    <w:rsid w:val="00117E23"/>
    <w:rsid w:val="001209DC"/>
    <w:rsid w:val="00120D07"/>
    <w:rsid w:val="00120EE7"/>
    <w:rsid w:val="001210E4"/>
    <w:rsid w:val="001219C1"/>
    <w:rsid w:val="00121EE3"/>
    <w:rsid w:val="001224F8"/>
    <w:rsid w:val="001227B6"/>
    <w:rsid w:val="001228A9"/>
    <w:rsid w:val="001229E7"/>
    <w:rsid w:val="00122C3A"/>
    <w:rsid w:val="00122CF2"/>
    <w:rsid w:val="0012308C"/>
    <w:rsid w:val="00123130"/>
    <w:rsid w:val="001233D9"/>
    <w:rsid w:val="00123A4F"/>
    <w:rsid w:val="00123E2F"/>
    <w:rsid w:val="001242CB"/>
    <w:rsid w:val="0012470B"/>
    <w:rsid w:val="00124CCB"/>
    <w:rsid w:val="00124F1A"/>
    <w:rsid w:val="0012509E"/>
    <w:rsid w:val="00125431"/>
    <w:rsid w:val="00125596"/>
    <w:rsid w:val="00125C91"/>
    <w:rsid w:val="0012640C"/>
    <w:rsid w:val="0012686A"/>
    <w:rsid w:val="0012694E"/>
    <w:rsid w:val="00126E77"/>
    <w:rsid w:val="001271CA"/>
    <w:rsid w:val="00127347"/>
    <w:rsid w:val="0012768F"/>
    <w:rsid w:val="00127853"/>
    <w:rsid w:val="0012798B"/>
    <w:rsid w:val="00127AC5"/>
    <w:rsid w:val="001305EA"/>
    <w:rsid w:val="00130AE3"/>
    <w:rsid w:val="00130DAD"/>
    <w:rsid w:val="0013140D"/>
    <w:rsid w:val="00131734"/>
    <w:rsid w:val="00131A4A"/>
    <w:rsid w:val="00131BE3"/>
    <w:rsid w:val="00132516"/>
    <w:rsid w:val="00132AAD"/>
    <w:rsid w:val="00133597"/>
    <w:rsid w:val="001335AC"/>
    <w:rsid w:val="00133C4E"/>
    <w:rsid w:val="00134426"/>
    <w:rsid w:val="0013486F"/>
    <w:rsid w:val="00134B16"/>
    <w:rsid w:val="00134B6E"/>
    <w:rsid w:val="00134FAA"/>
    <w:rsid w:val="0013509D"/>
    <w:rsid w:val="0013510B"/>
    <w:rsid w:val="00135133"/>
    <w:rsid w:val="0013559F"/>
    <w:rsid w:val="00135977"/>
    <w:rsid w:val="00136038"/>
    <w:rsid w:val="001369F1"/>
    <w:rsid w:val="00136A9B"/>
    <w:rsid w:val="00137579"/>
    <w:rsid w:val="001403E5"/>
    <w:rsid w:val="001404CB"/>
    <w:rsid w:val="00140951"/>
    <w:rsid w:val="00140E98"/>
    <w:rsid w:val="00140F1D"/>
    <w:rsid w:val="00141106"/>
    <w:rsid w:val="00141625"/>
    <w:rsid w:val="001423E9"/>
    <w:rsid w:val="001426E4"/>
    <w:rsid w:val="0014305F"/>
    <w:rsid w:val="00143B1F"/>
    <w:rsid w:val="00143C65"/>
    <w:rsid w:val="00143E2F"/>
    <w:rsid w:val="00143E59"/>
    <w:rsid w:val="001443D5"/>
    <w:rsid w:val="0014492B"/>
    <w:rsid w:val="00144A80"/>
    <w:rsid w:val="00145656"/>
    <w:rsid w:val="001459FA"/>
    <w:rsid w:val="00145A4E"/>
    <w:rsid w:val="00145A61"/>
    <w:rsid w:val="00145E95"/>
    <w:rsid w:val="00145EF2"/>
    <w:rsid w:val="00146396"/>
    <w:rsid w:val="00147867"/>
    <w:rsid w:val="001500C0"/>
    <w:rsid w:val="0015015B"/>
    <w:rsid w:val="00150186"/>
    <w:rsid w:val="001504BA"/>
    <w:rsid w:val="0015064D"/>
    <w:rsid w:val="001507F8"/>
    <w:rsid w:val="0015093C"/>
    <w:rsid w:val="00150A86"/>
    <w:rsid w:val="00150E15"/>
    <w:rsid w:val="00151029"/>
    <w:rsid w:val="001511BD"/>
    <w:rsid w:val="0015135C"/>
    <w:rsid w:val="001517DA"/>
    <w:rsid w:val="00151A98"/>
    <w:rsid w:val="00151BBF"/>
    <w:rsid w:val="00151FE0"/>
    <w:rsid w:val="001520C9"/>
    <w:rsid w:val="001528FC"/>
    <w:rsid w:val="001529C2"/>
    <w:rsid w:val="00152A61"/>
    <w:rsid w:val="00152AD4"/>
    <w:rsid w:val="00152E48"/>
    <w:rsid w:val="00153280"/>
    <w:rsid w:val="00153489"/>
    <w:rsid w:val="00153788"/>
    <w:rsid w:val="001537DC"/>
    <w:rsid w:val="00153BF0"/>
    <w:rsid w:val="00153D39"/>
    <w:rsid w:val="00154352"/>
    <w:rsid w:val="001546C7"/>
    <w:rsid w:val="0015505E"/>
    <w:rsid w:val="0015615E"/>
    <w:rsid w:val="001562E6"/>
    <w:rsid w:val="001565EB"/>
    <w:rsid w:val="00156D76"/>
    <w:rsid w:val="00156DCD"/>
    <w:rsid w:val="001575FE"/>
    <w:rsid w:val="0015793C"/>
    <w:rsid w:val="00157941"/>
    <w:rsid w:val="00157B65"/>
    <w:rsid w:val="00157F18"/>
    <w:rsid w:val="001600B3"/>
    <w:rsid w:val="00160485"/>
    <w:rsid w:val="00160827"/>
    <w:rsid w:val="001608D0"/>
    <w:rsid w:val="00160D19"/>
    <w:rsid w:val="00161343"/>
    <w:rsid w:val="0016192B"/>
    <w:rsid w:val="00161ADE"/>
    <w:rsid w:val="00161E60"/>
    <w:rsid w:val="001627D8"/>
    <w:rsid w:val="001627F9"/>
    <w:rsid w:val="00162889"/>
    <w:rsid w:val="001628EA"/>
    <w:rsid w:val="00162C82"/>
    <w:rsid w:val="00162E36"/>
    <w:rsid w:val="00162F5C"/>
    <w:rsid w:val="00162FE0"/>
    <w:rsid w:val="00163ECB"/>
    <w:rsid w:val="001644CA"/>
    <w:rsid w:val="001648CD"/>
    <w:rsid w:val="001649CD"/>
    <w:rsid w:val="00164EC7"/>
    <w:rsid w:val="001651E2"/>
    <w:rsid w:val="00165EE8"/>
    <w:rsid w:val="00166B89"/>
    <w:rsid w:val="00166BB6"/>
    <w:rsid w:val="00166CDA"/>
    <w:rsid w:val="00166EC2"/>
    <w:rsid w:val="00166F2D"/>
    <w:rsid w:val="00167180"/>
    <w:rsid w:val="00167245"/>
    <w:rsid w:val="00167610"/>
    <w:rsid w:val="00167684"/>
    <w:rsid w:val="001677C0"/>
    <w:rsid w:val="00167C58"/>
    <w:rsid w:val="00167C5D"/>
    <w:rsid w:val="00167F0C"/>
    <w:rsid w:val="001708A2"/>
    <w:rsid w:val="001712B1"/>
    <w:rsid w:val="00171497"/>
    <w:rsid w:val="00171588"/>
    <w:rsid w:val="001715D2"/>
    <w:rsid w:val="001715D3"/>
    <w:rsid w:val="00171C0B"/>
    <w:rsid w:val="00171FD2"/>
    <w:rsid w:val="001726C1"/>
    <w:rsid w:val="00172703"/>
    <w:rsid w:val="00172981"/>
    <w:rsid w:val="00173490"/>
    <w:rsid w:val="0017373B"/>
    <w:rsid w:val="00173879"/>
    <w:rsid w:val="00173D4F"/>
    <w:rsid w:val="00174E97"/>
    <w:rsid w:val="00176172"/>
    <w:rsid w:val="00176781"/>
    <w:rsid w:val="001768C6"/>
    <w:rsid w:val="001769CF"/>
    <w:rsid w:val="001770A2"/>
    <w:rsid w:val="0017749B"/>
    <w:rsid w:val="001775B5"/>
    <w:rsid w:val="00180032"/>
    <w:rsid w:val="001807F4"/>
    <w:rsid w:val="00180E0F"/>
    <w:rsid w:val="0018138B"/>
    <w:rsid w:val="001814BF"/>
    <w:rsid w:val="0018177F"/>
    <w:rsid w:val="001817ED"/>
    <w:rsid w:val="00181A52"/>
    <w:rsid w:val="00181A8F"/>
    <w:rsid w:val="00182236"/>
    <w:rsid w:val="0018228A"/>
    <w:rsid w:val="00182EF8"/>
    <w:rsid w:val="0018339E"/>
    <w:rsid w:val="0018364F"/>
    <w:rsid w:val="00183CBC"/>
    <w:rsid w:val="00183E85"/>
    <w:rsid w:val="0018429A"/>
    <w:rsid w:val="001847F0"/>
    <w:rsid w:val="00185426"/>
    <w:rsid w:val="001854C6"/>
    <w:rsid w:val="00185F2A"/>
    <w:rsid w:val="00185F50"/>
    <w:rsid w:val="001861A4"/>
    <w:rsid w:val="0018631C"/>
    <w:rsid w:val="00186437"/>
    <w:rsid w:val="00186AB6"/>
    <w:rsid w:val="00187133"/>
    <w:rsid w:val="00187135"/>
    <w:rsid w:val="001874FC"/>
    <w:rsid w:val="00187706"/>
    <w:rsid w:val="00187A5F"/>
    <w:rsid w:val="00187E21"/>
    <w:rsid w:val="00190BF6"/>
    <w:rsid w:val="00190F4C"/>
    <w:rsid w:val="001911BA"/>
    <w:rsid w:val="00191377"/>
    <w:rsid w:val="001916E5"/>
    <w:rsid w:val="001917DC"/>
    <w:rsid w:val="00191A16"/>
    <w:rsid w:val="00191EE7"/>
    <w:rsid w:val="0019346A"/>
    <w:rsid w:val="001937F6"/>
    <w:rsid w:val="00193ADB"/>
    <w:rsid w:val="00193B43"/>
    <w:rsid w:val="00193FF1"/>
    <w:rsid w:val="00193FF5"/>
    <w:rsid w:val="0019409A"/>
    <w:rsid w:val="00194201"/>
    <w:rsid w:val="0019425F"/>
    <w:rsid w:val="0019446A"/>
    <w:rsid w:val="001945C6"/>
    <w:rsid w:val="001948AC"/>
    <w:rsid w:val="001948BF"/>
    <w:rsid w:val="00194F8A"/>
    <w:rsid w:val="00195593"/>
    <w:rsid w:val="001956A4"/>
    <w:rsid w:val="00195D6D"/>
    <w:rsid w:val="0019620F"/>
    <w:rsid w:val="00196DEB"/>
    <w:rsid w:val="00196E96"/>
    <w:rsid w:val="00196F43"/>
    <w:rsid w:val="00197053"/>
    <w:rsid w:val="001970AD"/>
    <w:rsid w:val="001972F3"/>
    <w:rsid w:val="00197C2E"/>
    <w:rsid w:val="00197DDE"/>
    <w:rsid w:val="00197F67"/>
    <w:rsid w:val="001A0189"/>
    <w:rsid w:val="001A104D"/>
    <w:rsid w:val="001A10CC"/>
    <w:rsid w:val="001A13DD"/>
    <w:rsid w:val="001A17C4"/>
    <w:rsid w:val="001A1800"/>
    <w:rsid w:val="001A1C89"/>
    <w:rsid w:val="001A201D"/>
    <w:rsid w:val="001A2209"/>
    <w:rsid w:val="001A2560"/>
    <w:rsid w:val="001A2A1B"/>
    <w:rsid w:val="001A2E5E"/>
    <w:rsid w:val="001A2F37"/>
    <w:rsid w:val="001A31FA"/>
    <w:rsid w:val="001A3CAD"/>
    <w:rsid w:val="001A487E"/>
    <w:rsid w:val="001A4B7A"/>
    <w:rsid w:val="001A4C30"/>
    <w:rsid w:val="001A4D78"/>
    <w:rsid w:val="001A52D4"/>
    <w:rsid w:val="001A53B0"/>
    <w:rsid w:val="001A53DF"/>
    <w:rsid w:val="001A5868"/>
    <w:rsid w:val="001A59B5"/>
    <w:rsid w:val="001A6159"/>
    <w:rsid w:val="001A6235"/>
    <w:rsid w:val="001A6301"/>
    <w:rsid w:val="001A71A4"/>
    <w:rsid w:val="001A7230"/>
    <w:rsid w:val="001A7850"/>
    <w:rsid w:val="001B1559"/>
    <w:rsid w:val="001B161B"/>
    <w:rsid w:val="001B2C3B"/>
    <w:rsid w:val="001B39BD"/>
    <w:rsid w:val="001B3CA9"/>
    <w:rsid w:val="001B3E60"/>
    <w:rsid w:val="001B3E9D"/>
    <w:rsid w:val="001B4ABB"/>
    <w:rsid w:val="001B4B68"/>
    <w:rsid w:val="001B4F41"/>
    <w:rsid w:val="001B557C"/>
    <w:rsid w:val="001B5A9C"/>
    <w:rsid w:val="001B5E60"/>
    <w:rsid w:val="001B61D8"/>
    <w:rsid w:val="001B68E0"/>
    <w:rsid w:val="001B6EA9"/>
    <w:rsid w:val="001B70AF"/>
    <w:rsid w:val="001B722D"/>
    <w:rsid w:val="001B72AE"/>
    <w:rsid w:val="001B7749"/>
    <w:rsid w:val="001C054D"/>
    <w:rsid w:val="001C1216"/>
    <w:rsid w:val="001C13F9"/>
    <w:rsid w:val="001C14C6"/>
    <w:rsid w:val="001C175B"/>
    <w:rsid w:val="001C1BD5"/>
    <w:rsid w:val="001C1C4A"/>
    <w:rsid w:val="001C1CDE"/>
    <w:rsid w:val="001C23BD"/>
    <w:rsid w:val="001C24F1"/>
    <w:rsid w:val="001C2584"/>
    <w:rsid w:val="001C2887"/>
    <w:rsid w:val="001C330C"/>
    <w:rsid w:val="001C33E8"/>
    <w:rsid w:val="001C3594"/>
    <w:rsid w:val="001C38FD"/>
    <w:rsid w:val="001C3F9F"/>
    <w:rsid w:val="001C4188"/>
    <w:rsid w:val="001C43C3"/>
    <w:rsid w:val="001C4B00"/>
    <w:rsid w:val="001C4D7B"/>
    <w:rsid w:val="001C539D"/>
    <w:rsid w:val="001C5439"/>
    <w:rsid w:val="001C55AB"/>
    <w:rsid w:val="001C5778"/>
    <w:rsid w:val="001C5EE5"/>
    <w:rsid w:val="001C5F50"/>
    <w:rsid w:val="001C5F6E"/>
    <w:rsid w:val="001C6200"/>
    <w:rsid w:val="001C6BCF"/>
    <w:rsid w:val="001C7452"/>
    <w:rsid w:val="001C753F"/>
    <w:rsid w:val="001C770F"/>
    <w:rsid w:val="001C790B"/>
    <w:rsid w:val="001C7CA4"/>
    <w:rsid w:val="001C7E18"/>
    <w:rsid w:val="001C7F99"/>
    <w:rsid w:val="001C7FEB"/>
    <w:rsid w:val="001D0165"/>
    <w:rsid w:val="001D04D2"/>
    <w:rsid w:val="001D067F"/>
    <w:rsid w:val="001D0802"/>
    <w:rsid w:val="001D09DD"/>
    <w:rsid w:val="001D0C9D"/>
    <w:rsid w:val="001D0E29"/>
    <w:rsid w:val="001D1455"/>
    <w:rsid w:val="001D193A"/>
    <w:rsid w:val="001D1A17"/>
    <w:rsid w:val="001D1A49"/>
    <w:rsid w:val="001D2A45"/>
    <w:rsid w:val="001D2E5C"/>
    <w:rsid w:val="001D2E91"/>
    <w:rsid w:val="001D2F68"/>
    <w:rsid w:val="001D323F"/>
    <w:rsid w:val="001D360A"/>
    <w:rsid w:val="001D36A5"/>
    <w:rsid w:val="001D3E57"/>
    <w:rsid w:val="001D4070"/>
    <w:rsid w:val="001D4096"/>
    <w:rsid w:val="001D44A5"/>
    <w:rsid w:val="001D4AB6"/>
    <w:rsid w:val="001D503E"/>
    <w:rsid w:val="001D5429"/>
    <w:rsid w:val="001D5449"/>
    <w:rsid w:val="001D5CF2"/>
    <w:rsid w:val="001D6224"/>
    <w:rsid w:val="001D641D"/>
    <w:rsid w:val="001D6764"/>
    <w:rsid w:val="001D68DF"/>
    <w:rsid w:val="001D69CF"/>
    <w:rsid w:val="001D6D02"/>
    <w:rsid w:val="001D715D"/>
    <w:rsid w:val="001D71D1"/>
    <w:rsid w:val="001D7BD0"/>
    <w:rsid w:val="001E00E2"/>
    <w:rsid w:val="001E0850"/>
    <w:rsid w:val="001E093A"/>
    <w:rsid w:val="001E0B0B"/>
    <w:rsid w:val="001E0F20"/>
    <w:rsid w:val="001E0F73"/>
    <w:rsid w:val="001E11BA"/>
    <w:rsid w:val="001E168C"/>
    <w:rsid w:val="001E178B"/>
    <w:rsid w:val="001E18DA"/>
    <w:rsid w:val="001E1B9C"/>
    <w:rsid w:val="001E1BD8"/>
    <w:rsid w:val="001E1C15"/>
    <w:rsid w:val="001E2211"/>
    <w:rsid w:val="001E24A4"/>
    <w:rsid w:val="001E2BF3"/>
    <w:rsid w:val="001E3011"/>
    <w:rsid w:val="001E35F5"/>
    <w:rsid w:val="001E3B3E"/>
    <w:rsid w:val="001E3DA6"/>
    <w:rsid w:val="001E4367"/>
    <w:rsid w:val="001E439E"/>
    <w:rsid w:val="001E46FC"/>
    <w:rsid w:val="001E4C01"/>
    <w:rsid w:val="001E510A"/>
    <w:rsid w:val="001E5AD1"/>
    <w:rsid w:val="001E5AEB"/>
    <w:rsid w:val="001E5D45"/>
    <w:rsid w:val="001E5F38"/>
    <w:rsid w:val="001E632E"/>
    <w:rsid w:val="001E6900"/>
    <w:rsid w:val="001E7059"/>
    <w:rsid w:val="001E74F1"/>
    <w:rsid w:val="001E7895"/>
    <w:rsid w:val="001E7B72"/>
    <w:rsid w:val="001F00D7"/>
    <w:rsid w:val="001F04E4"/>
    <w:rsid w:val="001F0821"/>
    <w:rsid w:val="001F08D9"/>
    <w:rsid w:val="001F0BF9"/>
    <w:rsid w:val="001F0D22"/>
    <w:rsid w:val="001F0DBB"/>
    <w:rsid w:val="001F132D"/>
    <w:rsid w:val="001F134C"/>
    <w:rsid w:val="001F15FA"/>
    <w:rsid w:val="001F1C7B"/>
    <w:rsid w:val="001F1CBF"/>
    <w:rsid w:val="001F1F5F"/>
    <w:rsid w:val="001F21C3"/>
    <w:rsid w:val="001F2344"/>
    <w:rsid w:val="001F27C7"/>
    <w:rsid w:val="001F27D9"/>
    <w:rsid w:val="001F2865"/>
    <w:rsid w:val="001F2BF1"/>
    <w:rsid w:val="001F30F8"/>
    <w:rsid w:val="001F3273"/>
    <w:rsid w:val="001F362F"/>
    <w:rsid w:val="001F3921"/>
    <w:rsid w:val="001F3976"/>
    <w:rsid w:val="001F43C3"/>
    <w:rsid w:val="001F4F91"/>
    <w:rsid w:val="001F5271"/>
    <w:rsid w:val="001F5371"/>
    <w:rsid w:val="001F53FC"/>
    <w:rsid w:val="001F54EB"/>
    <w:rsid w:val="001F5540"/>
    <w:rsid w:val="001F5C90"/>
    <w:rsid w:val="001F5CF3"/>
    <w:rsid w:val="001F5E87"/>
    <w:rsid w:val="001F5ED7"/>
    <w:rsid w:val="001F5F0D"/>
    <w:rsid w:val="001F623D"/>
    <w:rsid w:val="001F62A3"/>
    <w:rsid w:val="001F6359"/>
    <w:rsid w:val="001F6486"/>
    <w:rsid w:val="001F6B2F"/>
    <w:rsid w:val="001F6BF1"/>
    <w:rsid w:val="001F6EFB"/>
    <w:rsid w:val="001F71AE"/>
    <w:rsid w:val="00200159"/>
    <w:rsid w:val="00200468"/>
    <w:rsid w:val="00200B48"/>
    <w:rsid w:val="00200B73"/>
    <w:rsid w:val="00200EA5"/>
    <w:rsid w:val="00201034"/>
    <w:rsid w:val="002015C1"/>
    <w:rsid w:val="00201D4A"/>
    <w:rsid w:val="002024DF"/>
    <w:rsid w:val="002028C2"/>
    <w:rsid w:val="0020294C"/>
    <w:rsid w:val="00202B20"/>
    <w:rsid w:val="0020308A"/>
    <w:rsid w:val="00203C97"/>
    <w:rsid w:val="0020494D"/>
    <w:rsid w:val="002050D0"/>
    <w:rsid w:val="002055C7"/>
    <w:rsid w:val="002056B7"/>
    <w:rsid w:val="002057BF"/>
    <w:rsid w:val="002059F8"/>
    <w:rsid w:val="00205B6B"/>
    <w:rsid w:val="00205EAC"/>
    <w:rsid w:val="00206336"/>
    <w:rsid w:val="002065F2"/>
    <w:rsid w:val="00206652"/>
    <w:rsid w:val="0020665D"/>
    <w:rsid w:val="00206804"/>
    <w:rsid w:val="00206BAE"/>
    <w:rsid w:val="00206BAF"/>
    <w:rsid w:val="00206F02"/>
    <w:rsid w:val="002071DB"/>
    <w:rsid w:val="002073E1"/>
    <w:rsid w:val="002073EC"/>
    <w:rsid w:val="00207628"/>
    <w:rsid w:val="002076B6"/>
    <w:rsid w:val="002076F2"/>
    <w:rsid w:val="00207A6F"/>
    <w:rsid w:val="00207E35"/>
    <w:rsid w:val="00207EC9"/>
    <w:rsid w:val="00207EE7"/>
    <w:rsid w:val="00210248"/>
    <w:rsid w:val="0021041B"/>
    <w:rsid w:val="00210A71"/>
    <w:rsid w:val="00211591"/>
    <w:rsid w:val="002117A5"/>
    <w:rsid w:val="002117F0"/>
    <w:rsid w:val="00211C97"/>
    <w:rsid w:val="002127DC"/>
    <w:rsid w:val="00213AF4"/>
    <w:rsid w:val="00214107"/>
    <w:rsid w:val="002144D8"/>
    <w:rsid w:val="002147B1"/>
    <w:rsid w:val="002148AC"/>
    <w:rsid w:val="00215041"/>
    <w:rsid w:val="002153EE"/>
    <w:rsid w:val="0021565D"/>
    <w:rsid w:val="00215723"/>
    <w:rsid w:val="00215817"/>
    <w:rsid w:val="0021592F"/>
    <w:rsid w:val="002167D9"/>
    <w:rsid w:val="00216E6F"/>
    <w:rsid w:val="002171AF"/>
    <w:rsid w:val="002176B6"/>
    <w:rsid w:val="00217851"/>
    <w:rsid w:val="002201E4"/>
    <w:rsid w:val="00220555"/>
    <w:rsid w:val="00220558"/>
    <w:rsid w:val="00220589"/>
    <w:rsid w:val="002205F6"/>
    <w:rsid w:val="0022072A"/>
    <w:rsid w:val="00220B52"/>
    <w:rsid w:val="00220C12"/>
    <w:rsid w:val="002211AF"/>
    <w:rsid w:val="00221444"/>
    <w:rsid w:val="0022165F"/>
    <w:rsid w:val="0022179F"/>
    <w:rsid w:val="00221D63"/>
    <w:rsid w:val="00222456"/>
    <w:rsid w:val="00222B90"/>
    <w:rsid w:val="00222C5B"/>
    <w:rsid w:val="00223123"/>
    <w:rsid w:val="00223448"/>
    <w:rsid w:val="00223520"/>
    <w:rsid w:val="002235CF"/>
    <w:rsid w:val="00223655"/>
    <w:rsid w:val="0022390B"/>
    <w:rsid w:val="00223EFB"/>
    <w:rsid w:val="00224569"/>
    <w:rsid w:val="00224721"/>
    <w:rsid w:val="002250D7"/>
    <w:rsid w:val="00225577"/>
    <w:rsid w:val="002258F1"/>
    <w:rsid w:val="00225A55"/>
    <w:rsid w:val="00225BA6"/>
    <w:rsid w:val="002265E6"/>
    <w:rsid w:val="00226756"/>
    <w:rsid w:val="002267EA"/>
    <w:rsid w:val="00226955"/>
    <w:rsid w:val="002269CE"/>
    <w:rsid w:val="00226BAC"/>
    <w:rsid w:val="00227571"/>
    <w:rsid w:val="00227C46"/>
    <w:rsid w:val="00227E60"/>
    <w:rsid w:val="00230637"/>
    <w:rsid w:val="00230BF7"/>
    <w:rsid w:val="00231075"/>
    <w:rsid w:val="00231195"/>
    <w:rsid w:val="00231875"/>
    <w:rsid w:val="0023190A"/>
    <w:rsid w:val="00232578"/>
    <w:rsid w:val="002329F7"/>
    <w:rsid w:val="0023317E"/>
    <w:rsid w:val="002335F0"/>
    <w:rsid w:val="00234109"/>
    <w:rsid w:val="0023433D"/>
    <w:rsid w:val="0023438C"/>
    <w:rsid w:val="00234391"/>
    <w:rsid w:val="002343B5"/>
    <w:rsid w:val="002343CA"/>
    <w:rsid w:val="0023508D"/>
    <w:rsid w:val="0023575E"/>
    <w:rsid w:val="002357A3"/>
    <w:rsid w:val="00236687"/>
    <w:rsid w:val="00236A8A"/>
    <w:rsid w:val="00236B5F"/>
    <w:rsid w:val="00237048"/>
    <w:rsid w:val="00237979"/>
    <w:rsid w:val="00237AA1"/>
    <w:rsid w:val="00237AD9"/>
    <w:rsid w:val="002402A2"/>
    <w:rsid w:val="0024031E"/>
    <w:rsid w:val="002403CA"/>
    <w:rsid w:val="00240610"/>
    <w:rsid w:val="00240A91"/>
    <w:rsid w:val="00240CDB"/>
    <w:rsid w:val="002414F5"/>
    <w:rsid w:val="002415E1"/>
    <w:rsid w:val="002418E6"/>
    <w:rsid w:val="00241E92"/>
    <w:rsid w:val="00242A73"/>
    <w:rsid w:val="00242D11"/>
    <w:rsid w:val="002431E9"/>
    <w:rsid w:val="00243207"/>
    <w:rsid w:val="002432B4"/>
    <w:rsid w:val="002436B4"/>
    <w:rsid w:val="00243A9F"/>
    <w:rsid w:val="00243D19"/>
    <w:rsid w:val="00243D59"/>
    <w:rsid w:val="00244009"/>
    <w:rsid w:val="002440D7"/>
    <w:rsid w:val="00244415"/>
    <w:rsid w:val="002445E6"/>
    <w:rsid w:val="00244849"/>
    <w:rsid w:val="00244856"/>
    <w:rsid w:val="00244919"/>
    <w:rsid w:val="00244AE8"/>
    <w:rsid w:val="00244CC8"/>
    <w:rsid w:val="00244D4B"/>
    <w:rsid w:val="00245231"/>
    <w:rsid w:val="0024528D"/>
    <w:rsid w:val="00245531"/>
    <w:rsid w:val="002457F1"/>
    <w:rsid w:val="00245F2B"/>
    <w:rsid w:val="00245F53"/>
    <w:rsid w:val="00245FBF"/>
    <w:rsid w:val="00246082"/>
    <w:rsid w:val="00246169"/>
    <w:rsid w:val="00246AE7"/>
    <w:rsid w:val="002471AF"/>
    <w:rsid w:val="00247BA9"/>
    <w:rsid w:val="00247F00"/>
    <w:rsid w:val="00250081"/>
    <w:rsid w:val="00250CA7"/>
    <w:rsid w:val="00250FCB"/>
    <w:rsid w:val="002511F3"/>
    <w:rsid w:val="00251AC9"/>
    <w:rsid w:val="00251B33"/>
    <w:rsid w:val="00251D03"/>
    <w:rsid w:val="00251FBC"/>
    <w:rsid w:val="0025257C"/>
    <w:rsid w:val="0025295C"/>
    <w:rsid w:val="00252B2D"/>
    <w:rsid w:val="00252C7C"/>
    <w:rsid w:val="00252EC4"/>
    <w:rsid w:val="002535D1"/>
    <w:rsid w:val="00253DEF"/>
    <w:rsid w:val="002542B6"/>
    <w:rsid w:val="0025452F"/>
    <w:rsid w:val="00254CFE"/>
    <w:rsid w:val="00255393"/>
    <w:rsid w:val="00255C3C"/>
    <w:rsid w:val="00255EE6"/>
    <w:rsid w:val="00256645"/>
    <w:rsid w:val="0025675D"/>
    <w:rsid w:val="00256CCF"/>
    <w:rsid w:val="00256F5C"/>
    <w:rsid w:val="002579DE"/>
    <w:rsid w:val="00257B8B"/>
    <w:rsid w:val="002600D6"/>
    <w:rsid w:val="002600F3"/>
    <w:rsid w:val="00260AC4"/>
    <w:rsid w:val="00260EC3"/>
    <w:rsid w:val="00260F1B"/>
    <w:rsid w:val="00261199"/>
    <w:rsid w:val="00261436"/>
    <w:rsid w:val="00261B77"/>
    <w:rsid w:val="00261D2A"/>
    <w:rsid w:val="00262AF4"/>
    <w:rsid w:val="00262E09"/>
    <w:rsid w:val="0026363B"/>
    <w:rsid w:val="00263C9F"/>
    <w:rsid w:val="00264006"/>
    <w:rsid w:val="00264DB0"/>
    <w:rsid w:val="00265120"/>
    <w:rsid w:val="00265C0E"/>
    <w:rsid w:val="00265C94"/>
    <w:rsid w:val="00265CD1"/>
    <w:rsid w:val="00265DCD"/>
    <w:rsid w:val="00265F5A"/>
    <w:rsid w:val="00266A8F"/>
    <w:rsid w:val="00266B14"/>
    <w:rsid w:val="00266BDC"/>
    <w:rsid w:val="00266C06"/>
    <w:rsid w:val="00266FC6"/>
    <w:rsid w:val="00267445"/>
    <w:rsid w:val="00267541"/>
    <w:rsid w:val="00267632"/>
    <w:rsid w:val="0026790D"/>
    <w:rsid w:val="00267988"/>
    <w:rsid w:val="00267B07"/>
    <w:rsid w:val="00270796"/>
    <w:rsid w:val="002709CD"/>
    <w:rsid w:val="0027119B"/>
    <w:rsid w:val="002719CA"/>
    <w:rsid w:val="00271BB9"/>
    <w:rsid w:val="00271C98"/>
    <w:rsid w:val="002723C9"/>
    <w:rsid w:val="002729AE"/>
    <w:rsid w:val="00272AFC"/>
    <w:rsid w:val="00272F24"/>
    <w:rsid w:val="00273031"/>
    <w:rsid w:val="002735EB"/>
    <w:rsid w:val="0027394C"/>
    <w:rsid w:val="00273C6B"/>
    <w:rsid w:val="00273DF7"/>
    <w:rsid w:val="0027524F"/>
    <w:rsid w:val="00275455"/>
    <w:rsid w:val="00275A73"/>
    <w:rsid w:val="002761EF"/>
    <w:rsid w:val="00276616"/>
    <w:rsid w:val="00276A5C"/>
    <w:rsid w:val="00276B52"/>
    <w:rsid w:val="002770D4"/>
    <w:rsid w:val="002771C4"/>
    <w:rsid w:val="002777F2"/>
    <w:rsid w:val="00277C58"/>
    <w:rsid w:val="00280097"/>
    <w:rsid w:val="0028075F"/>
    <w:rsid w:val="002808D1"/>
    <w:rsid w:val="00280CBA"/>
    <w:rsid w:val="00281799"/>
    <w:rsid w:val="00281B1B"/>
    <w:rsid w:val="00281BFE"/>
    <w:rsid w:val="00281E00"/>
    <w:rsid w:val="00281E44"/>
    <w:rsid w:val="0028214B"/>
    <w:rsid w:val="00282A0B"/>
    <w:rsid w:val="00282A97"/>
    <w:rsid w:val="00282A98"/>
    <w:rsid w:val="00282CB4"/>
    <w:rsid w:val="002831A8"/>
    <w:rsid w:val="00283DCE"/>
    <w:rsid w:val="00283ED8"/>
    <w:rsid w:val="00283F80"/>
    <w:rsid w:val="00284178"/>
    <w:rsid w:val="0028427F"/>
    <w:rsid w:val="00284F67"/>
    <w:rsid w:val="00284FA5"/>
    <w:rsid w:val="002853B1"/>
    <w:rsid w:val="002859DA"/>
    <w:rsid w:val="00285AB9"/>
    <w:rsid w:val="002868A7"/>
    <w:rsid w:val="00286C38"/>
    <w:rsid w:val="00287036"/>
    <w:rsid w:val="00287191"/>
    <w:rsid w:val="00287285"/>
    <w:rsid w:val="002872CF"/>
    <w:rsid w:val="00287E78"/>
    <w:rsid w:val="0029021F"/>
    <w:rsid w:val="0029032F"/>
    <w:rsid w:val="00290B50"/>
    <w:rsid w:val="002910FD"/>
    <w:rsid w:val="002912E6"/>
    <w:rsid w:val="002912FA"/>
    <w:rsid w:val="00291663"/>
    <w:rsid w:val="002916F7"/>
    <w:rsid w:val="00291D36"/>
    <w:rsid w:val="00292206"/>
    <w:rsid w:val="002922A6"/>
    <w:rsid w:val="00292311"/>
    <w:rsid w:val="0029318E"/>
    <w:rsid w:val="002932C2"/>
    <w:rsid w:val="002933E5"/>
    <w:rsid w:val="002935B9"/>
    <w:rsid w:val="00293638"/>
    <w:rsid w:val="0029398F"/>
    <w:rsid w:val="00294A63"/>
    <w:rsid w:val="00294AAE"/>
    <w:rsid w:val="00295252"/>
    <w:rsid w:val="002953F4"/>
    <w:rsid w:val="0029664E"/>
    <w:rsid w:val="002966E7"/>
    <w:rsid w:val="00297E7E"/>
    <w:rsid w:val="002A01EF"/>
    <w:rsid w:val="002A04F0"/>
    <w:rsid w:val="002A0A60"/>
    <w:rsid w:val="002A0BC4"/>
    <w:rsid w:val="002A1012"/>
    <w:rsid w:val="002A27B2"/>
    <w:rsid w:val="002A3126"/>
    <w:rsid w:val="002A31D3"/>
    <w:rsid w:val="002A35C9"/>
    <w:rsid w:val="002A3B6B"/>
    <w:rsid w:val="002A4066"/>
    <w:rsid w:val="002A42EC"/>
    <w:rsid w:val="002A46D2"/>
    <w:rsid w:val="002A506A"/>
    <w:rsid w:val="002A526B"/>
    <w:rsid w:val="002A58B2"/>
    <w:rsid w:val="002A58CF"/>
    <w:rsid w:val="002A5A5C"/>
    <w:rsid w:val="002A63F0"/>
    <w:rsid w:val="002A64E6"/>
    <w:rsid w:val="002A68FF"/>
    <w:rsid w:val="002A698D"/>
    <w:rsid w:val="002A6E9C"/>
    <w:rsid w:val="002A75A6"/>
    <w:rsid w:val="002A7B93"/>
    <w:rsid w:val="002B044C"/>
    <w:rsid w:val="002B0575"/>
    <w:rsid w:val="002B0630"/>
    <w:rsid w:val="002B0731"/>
    <w:rsid w:val="002B0A9F"/>
    <w:rsid w:val="002B0BDD"/>
    <w:rsid w:val="002B0F0B"/>
    <w:rsid w:val="002B198C"/>
    <w:rsid w:val="002B1BEE"/>
    <w:rsid w:val="002B1CDA"/>
    <w:rsid w:val="002B1EDE"/>
    <w:rsid w:val="002B256E"/>
    <w:rsid w:val="002B2607"/>
    <w:rsid w:val="002B2BEC"/>
    <w:rsid w:val="002B2FB5"/>
    <w:rsid w:val="002B3021"/>
    <w:rsid w:val="002B37EC"/>
    <w:rsid w:val="002B3887"/>
    <w:rsid w:val="002B426E"/>
    <w:rsid w:val="002B4423"/>
    <w:rsid w:val="002B4D13"/>
    <w:rsid w:val="002B4E86"/>
    <w:rsid w:val="002B4FAE"/>
    <w:rsid w:val="002B5015"/>
    <w:rsid w:val="002B5033"/>
    <w:rsid w:val="002B5083"/>
    <w:rsid w:val="002B5125"/>
    <w:rsid w:val="002B542D"/>
    <w:rsid w:val="002B57CD"/>
    <w:rsid w:val="002B58AE"/>
    <w:rsid w:val="002B5B9E"/>
    <w:rsid w:val="002B5BCE"/>
    <w:rsid w:val="002B5C14"/>
    <w:rsid w:val="002B5CF2"/>
    <w:rsid w:val="002B624B"/>
    <w:rsid w:val="002B63EE"/>
    <w:rsid w:val="002B7C2F"/>
    <w:rsid w:val="002B7E95"/>
    <w:rsid w:val="002B7F7C"/>
    <w:rsid w:val="002B7FE6"/>
    <w:rsid w:val="002C0280"/>
    <w:rsid w:val="002C0A37"/>
    <w:rsid w:val="002C0AAE"/>
    <w:rsid w:val="002C0BE5"/>
    <w:rsid w:val="002C0DC0"/>
    <w:rsid w:val="002C0E5E"/>
    <w:rsid w:val="002C1428"/>
    <w:rsid w:val="002C1503"/>
    <w:rsid w:val="002C1C19"/>
    <w:rsid w:val="002C1FEB"/>
    <w:rsid w:val="002C2357"/>
    <w:rsid w:val="002C23A0"/>
    <w:rsid w:val="002C28B4"/>
    <w:rsid w:val="002C2DBB"/>
    <w:rsid w:val="002C2E4D"/>
    <w:rsid w:val="002C31D5"/>
    <w:rsid w:val="002C3469"/>
    <w:rsid w:val="002C366C"/>
    <w:rsid w:val="002C384D"/>
    <w:rsid w:val="002C3868"/>
    <w:rsid w:val="002C3AC9"/>
    <w:rsid w:val="002C3F8A"/>
    <w:rsid w:val="002C4406"/>
    <w:rsid w:val="002C4528"/>
    <w:rsid w:val="002C4D4B"/>
    <w:rsid w:val="002C4EE9"/>
    <w:rsid w:val="002C55E8"/>
    <w:rsid w:val="002C5C72"/>
    <w:rsid w:val="002C5CBD"/>
    <w:rsid w:val="002C6086"/>
    <w:rsid w:val="002C60C8"/>
    <w:rsid w:val="002C6310"/>
    <w:rsid w:val="002C63BE"/>
    <w:rsid w:val="002C7106"/>
    <w:rsid w:val="002C71E3"/>
    <w:rsid w:val="002C73BA"/>
    <w:rsid w:val="002C7531"/>
    <w:rsid w:val="002C77CB"/>
    <w:rsid w:val="002C7874"/>
    <w:rsid w:val="002C7B6C"/>
    <w:rsid w:val="002C7E11"/>
    <w:rsid w:val="002D006C"/>
    <w:rsid w:val="002D011F"/>
    <w:rsid w:val="002D04E4"/>
    <w:rsid w:val="002D0954"/>
    <w:rsid w:val="002D103B"/>
    <w:rsid w:val="002D1209"/>
    <w:rsid w:val="002D2332"/>
    <w:rsid w:val="002D24F4"/>
    <w:rsid w:val="002D2D30"/>
    <w:rsid w:val="002D342F"/>
    <w:rsid w:val="002D38EB"/>
    <w:rsid w:val="002D3954"/>
    <w:rsid w:val="002D3FB0"/>
    <w:rsid w:val="002D409C"/>
    <w:rsid w:val="002D4780"/>
    <w:rsid w:val="002D4B71"/>
    <w:rsid w:val="002D4D04"/>
    <w:rsid w:val="002D4FA7"/>
    <w:rsid w:val="002D595E"/>
    <w:rsid w:val="002D5BDF"/>
    <w:rsid w:val="002D65FD"/>
    <w:rsid w:val="002D69E5"/>
    <w:rsid w:val="002D6A81"/>
    <w:rsid w:val="002D6FD2"/>
    <w:rsid w:val="002D7150"/>
    <w:rsid w:val="002D741F"/>
    <w:rsid w:val="002D7ABA"/>
    <w:rsid w:val="002E01C6"/>
    <w:rsid w:val="002E0537"/>
    <w:rsid w:val="002E065A"/>
    <w:rsid w:val="002E081E"/>
    <w:rsid w:val="002E083A"/>
    <w:rsid w:val="002E0ADC"/>
    <w:rsid w:val="002E0B51"/>
    <w:rsid w:val="002E0DE2"/>
    <w:rsid w:val="002E0F70"/>
    <w:rsid w:val="002E1417"/>
    <w:rsid w:val="002E1D53"/>
    <w:rsid w:val="002E1EF8"/>
    <w:rsid w:val="002E243C"/>
    <w:rsid w:val="002E270E"/>
    <w:rsid w:val="002E2786"/>
    <w:rsid w:val="002E2864"/>
    <w:rsid w:val="002E2B7C"/>
    <w:rsid w:val="002E34EE"/>
    <w:rsid w:val="002E34F9"/>
    <w:rsid w:val="002E3B2F"/>
    <w:rsid w:val="002E3FEE"/>
    <w:rsid w:val="002E40F9"/>
    <w:rsid w:val="002E41B3"/>
    <w:rsid w:val="002E4D51"/>
    <w:rsid w:val="002E584C"/>
    <w:rsid w:val="002E5918"/>
    <w:rsid w:val="002E61BC"/>
    <w:rsid w:val="002E6713"/>
    <w:rsid w:val="002E6A6A"/>
    <w:rsid w:val="002E6AC3"/>
    <w:rsid w:val="002E6D6D"/>
    <w:rsid w:val="002E7755"/>
    <w:rsid w:val="002E7C1F"/>
    <w:rsid w:val="002E7E91"/>
    <w:rsid w:val="002F0EFB"/>
    <w:rsid w:val="002F0F0D"/>
    <w:rsid w:val="002F1578"/>
    <w:rsid w:val="002F16CD"/>
    <w:rsid w:val="002F1A54"/>
    <w:rsid w:val="002F1C50"/>
    <w:rsid w:val="002F1CC8"/>
    <w:rsid w:val="002F1DDC"/>
    <w:rsid w:val="002F2445"/>
    <w:rsid w:val="002F2584"/>
    <w:rsid w:val="002F27B4"/>
    <w:rsid w:val="002F27BE"/>
    <w:rsid w:val="002F2E84"/>
    <w:rsid w:val="002F2F61"/>
    <w:rsid w:val="002F306D"/>
    <w:rsid w:val="002F30D3"/>
    <w:rsid w:val="002F3A5E"/>
    <w:rsid w:val="002F3F3A"/>
    <w:rsid w:val="002F4063"/>
    <w:rsid w:val="002F47EE"/>
    <w:rsid w:val="002F4A2D"/>
    <w:rsid w:val="002F4AAD"/>
    <w:rsid w:val="002F4B02"/>
    <w:rsid w:val="002F4CB0"/>
    <w:rsid w:val="002F4FCA"/>
    <w:rsid w:val="002F5068"/>
    <w:rsid w:val="002F5534"/>
    <w:rsid w:val="002F609A"/>
    <w:rsid w:val="002F6151"/>
    <w:rsid w:val="002F6D65"/>
    <w:rsid w:val="002F6E33"/>
    <w:rsid w:val="002F7BFB"/>
    <w:rsid w:val="002F7F3F"/>
    <w:rsid w:val="00300127"/>
    <w:rsid w:val="00300560"/>
    <w:rsid w:val="00300F0A"/>
    <w:rsid w:val="00301086"/>
    <w:rsid w:val="00301606"/>
    <w:rsid w:val="0030188B"/>
    <w:rsid w:val="0030208F"/>
    <w:rsid w:val="0030225A"/>
    <w:rsid w:val="0030283F"/>
    <w:rsid w:val="00302D9B"/>
    <w:rsid w:val="0030321F"/>
    <w:rsid w:val="0030356B"/>
    <w:rsid w:val="003035F4"/>
    <w:rsid w:val="0030393A"/>
    <w:rsid w:val="00303BC6"/>
    <w:rsid w:val="0030453C"/>
    <w:rsid w:val="0030467B"/>
    <w:rsid w:val="003050C9"/>
    <w:rsid w:val="003059FD"/>
    <w:rsid w:val="003062EC"/>
    <w:rsid w:val="00306429"/>
    <w:rsid w:val="00306648"/>
    <w:rsid w:val="00306892"/>
    <w:rsid w:val="003068DD"/>
    <w:rsid w:val="00306E18"/>
    <w:rsid w:val="00307333"/>
    <w:rsid w:val="00307516"/>
    <w:rsid w:val="003078DB"/>
    <w:rsid w:val="00307915"/>
    <w:rsid w:val="00307BEB"/>
    <w:rsid w:val="00310650"/>
    <w:rsid w:val="00310DCF"/>
    <w:rsid w:val="003111D8"/>
    <w:rsid w:val="0031171E"/>
    <w:rsid w:val="003119F9"/>
    <w:rsid w:val="00311F88"/>
    <w:rsid w:val="003120C1"/>
    <w:rsid w:val="00312738"/>
    <w:rsid w:val="00312946"/>
    <w:rsid w:val="00313227"/>
    <w:rsid w:val="00313723"/>
    <w:rsid w:val="00313A14"/>
    <w:rsid w:val="00313DF1"/>
    <w:rsid w:val="003143B9"/>
    <w:rsid w:val="00314937"/>
    <w:rsid w:val="00314962"/>
    <w:rsid w:val="00314B8A"/>
    <w:rsid w:val="00314BF7"/>
    <w:rsid w:val="00314C5A"/>
    <w:rsid w:val="00315300"/>
    <w:rsid w:val="003156B3"/>
    <w:rsid w:val="0031586B"/>
    <w:rsid w:val="00315C9E"/>
    <w:rsid w:val="00315E49"/>
    <w:rsid w:val="0031644E"/>
    <w:rsid w:val="003164F9"/>
    <w:rsid w:val="00316E97"/>
    <w:rsid w:val="00317183"/>
    <w:rsid w:val="00317195"/>
    <w:rsid w:val="0031735F"/>
    <w:rsid w:val="00317B41"/>
    <w:rsid w:val="00320230"/>
    <w:rsid w:val="00320737"/>
    <w:rsid w:val="00320A51"/>
    <w:rsid w:val="00320B2F"/>
    <w:rsid w:val="00320D97"/>
    <w:rsid w:val="00321062"/>
    <w:rsid w:val="003212CA"/>
    <w:rsid w:val="00321B44"/>
    <w:rsid w:val="0032242C"/>
    <w:rsid w:val="003226A1"/>
    <w:rsid w:val="00322E76"/>
    <w:rsid w:val="003245F4"/>
    <w:rsid w:val="00324742"/>
    <w:rsid w:val="00324807"/>
    <w:rsid w:val="00324844"/>
    <w:rsid w:val="0032566C"/>
    <w:rsid w:val="0032633E"/>
    <w:rsid w:val="00326B3C"/>
    <w:rsid w:val="003271CD"/>
    <w:rsid w:val="003276F6"/>
    <w:rsid w:val="00327926"/>
    <w:rsid w:val="00327B01"/>
    <w:rsid w:val="00327CD8"/>
    <w:rsid w:val="0033008B"/>
    <w:rsid w:val="003306BA"/>
    <w:rsid w:val="00330995"/>
    <w:rsid w:val="003309B0"/>
    <w:rsid w:val="003309DD"/>
    <w:rsid w:val="00330A31"/>
    <w:rsid w:val="00330C47"/>
    <w:rsid w:val="00330F34"/>
    <w:rsid w:val="00330FDD"/>
    <w:rsid w:val="003310A3"/>
    <w:rsid w:val="003312E2"/>
    <w:rsid w:val="00331415"/>
    <w:rsid w:val="00331E2D"/>
    <w:rsid w:val="00331E60"/>
    <w:rsid w:val="00331FDD"/>
    <w:rsid w:val="003325A2"/>
    <w:rsid w:val="0033281D"/>
    <w:rsid w:val="00332895"/>
    <w:rsid w:val="0033289F"/>
    <w:rsid w:val="00332A4E"/>
    <w:rsid w:val="003331CE"/>
    <w:rsid w:val="0033334E"/>
    <w:rsid w:val="00333487"/>
    <w:rsid w:val="003334C7"/>
    <w:rsid w:val="00333704"/>
    <w:rsid w:val="00333A0F"/>
    <w:rsid w:val="00333F15"/>
    <w:rsid w:val="003340FB"/>
    <w:rsid w:val="00334223"/>
    <w:rsid w:val="003349AD"/>
    <w:rsid w:val="00334AB4"/>
    <w:rsid w:val="00334C75"/>
    <w:rsid w:val="00335233"/>
    <w:rsid w:val="00335572"/>
    <w:rsid w:val="00335BB4"/>
    <w:rsid w:val="00336467"/>
    <w:rsid w:val="0033711E"/>
    <w:rsid w:val="0033766A"/>
    <w:rsid w:val="00337CEB"/>
    <w:rsid w:val="00340068"/>
    <w:rsid w:val="0034082F"/>
    <w:rsid w:val="00340897"/>
    <w:rsid w:val="003409CD"/>
    <w:rsid w:val="00340D2A"/>
    <w:rsid w:val="00341238"/>
    <w:rsid w:val="00341258"/>
    <w:rsid w:val="003418DE"/>
    <w:rsid w:val="00341B46"/>
    <w:rsid w:val="00342209"/>
    <w:rsid w:val="003423BB"/>
    <w:rsid w:val="00342FE0"/>
    <w:rsid w:val="00343931"/>
    <w:rsid w:val="003439F4"/>
    <w:rsid w:val="003440DE"/>
    <w:rsid w:val="0034497B"/>
    <w:rsid w:val="00344B99"/>
    <w:rsid w:val="00344FB1"/>
    <w:rsid w:val="00345084"/>
    <w:rsid w:val="003453CA"/>
    <w:rsid w:val="00345ABC"/>
    <w:rsid w:val="00345D13"/>
    <w:rsid w:val="00345FDF"/>
    <w:rsid w:val="0034643B"/>
    <w:rsid w:val="003469FC"/>
    <w:rsid w:val="00346DAA"/>
    <w:rsid w:val="003473FE"/>
    <w:rsid w:val="00347FF9"/>
    <w:rsid w:val="00350E9A"/>
    <w:rsid w:val="0035145B"/>
    <w:rsid w:val="00351747"/>
    <w:rsid w:val="00351911"/>
    <w:rsid w:val="003525E0"/>
    <w:rsid w:val="0035267F"/>
    <w:rsid w:val="0035268F"/>
    <w:rsid w:val="0035299C"/>
    <w:rsid w:val="00352B80"/>
    <w:rsid w:val="00352DCC"/>
    <w:rsid w:val="00352ED8"/>
    <w:rsid w:val="00353BBB"/>
    <w:rsid w:val="00353BD3"/>
    <w:rsid w:val="00353C1C"/>
    <w:rsid w:val="00354019"/>
    <w:rsid w:val="00354169"/>
    <w:rsid w:val="0035423F"/>
    <w:rsid w:val="00354F70"/>
    <w:rsid w:val="003550C8"/>
    <w:rsid w:val="00356407"/>
    <w:rsid w:val="00356557"/>
    <w:rsid w:val="0035668A"/>
    <w:rsid w:val="00356D4D"/>
    <w:rsid w:val="00356FF5"/>
    <w:rsid w:val="00357277"/>
    <w:rsid w:val="00357872"/>
    <w:rsid w:val="00357AD8"/>
    <w:rsid w:val="00357F7C"/>
    <w:rsid w:val="00360055"/>
    <w:rsid w:val="003604EA"/>
    <w:rsid w:val="0036052E"/>
    <w:rsid w:val="00360BDD"/>
    <w:rsid w:val="00360C7A"/>
    <w:rsid w:val="003611E3"/>
    <w:rsid w:val="0036188C"/>
    <w:rsid w:val="003623DD"/>
    <w:rsid w:val="00362B09"/>
    <w:rsid w:val="00362F9C"/>
    <w:rsid w:val="00363A6C"/>
    <w:rsid w:val="003642FF"/>
    <w:rsid w:val="00364A73"/>
    <w:rsid w:val="00365367"/>
    <w:rsid w:val="00365404"/>
    <w:rsid w:val="003658E9"/>
    <w:rsid w:val="00365AEE"/>
    <w:rsid w:val="00366192"/>
    <w:rsid w:val="003667CA"/>
    <w:rsid w:val="003669F4"/>
    <w:rsid w:val="00366CA1"/>
    <w:rsid w:val="00366FA6"/>
    <w:rsid w:val="00367E02"/>
    <w:rsid w:val="0037047A"/>
    <w:rsid w:val="003714A3"/>
    <w:rsid w:val="00371DE9"/>
    <w:rsid w:val="00372069"/>
    <w:rsid w:val="00372149"/>
    <w:rsid w:val="00372667"/>
    <w:rsid w:val="0037272B"/>
    <w:rsid w:val="00372FDE"/>
    <w:rsid w:val="00373022"/>
    <w:rsid w:val="0037396B"/>
    <w:rsid w:val="00373987"/>
    <w:rsid w:val="00373AE8"/>
    <w:rsid w:val="00374BEE"/>
    <w:rsid w:val="00374FB1"/>
    <w:rsid w:val="0037509F"/>
    <w:rsid w:val="003751F5"/>
    <w:rsid w:val="003755E7"/>
    <w:rsid w:val="00375FBD"/>
    <w:rsid w:val="00376E4D"/>
    <w:rsid w:val="00376E81"/>
    <w:rsid w:val="00377350"/>
    <w:rsid w:val="00377923"/>
    <w:rsid w:val="00377CFE"/>
    <w:rsid w:val="00377D13"/>
    <w:rsid w:val="00377DB4"/>
    <w:rsid w:val="00377F87"/>
    <w:rsid w:val="00380795"/>
    <w:rsid w:val="00380B88"/>
    <w:rsid w:val="00380D8B"/>
    <w:rsid w:val="003810E0"/>
    <w:rsid w:val="0038153F"/>
    <w:rsid w:val="00381672"/>
    <w:rsid w:val="003816B0"/>
    <w:rsid w:val="003818ED"/>
    <w:rsid w:val="00382763"/>
    <w:rsid w:val="00383CFB"/>
    <w:rsid w:val="00383D48"/>
    <w:rsid w:val="00384372"/>
    <w:rsid w:val="0038449F"/>
    <w:rsid w:val="003848B0"/>
    <w:rsid w:val="00385222"/>
    <w:rsid w:val="003859FA"/>
    <w:rsid w:val="0038693D"/>
    <w:rsid w:val="00386CA4"/>
    <w:rsid w:val="00386E05"/>
    <w:rsid w:val="00386FFF"/>
    <w:rsid w:val="00387266"/>
    <w:rsid w:val="003872D3"/>
    <w:rsid w:val="00387815"/>
    <w:rsid w:val="00387828"/>
    <w:rsid w:val="00387E44"/>
    <w:rsid w:val="0039069F"/>
    <w:rsid w:val="0039076A"/>
    <w:rsid w:val="00390784"/>
    <w:rsid w:val="00390A13"/>
    <w:rsid w:val="00390F37"/>
    <w:rsid w:val="00391C8C"/>
    <w:rsid w:val="00391FC8"/>
    <w:rsid w:val="00392462"/>
    <w:rsid w:val="003935DB"/>
    <w:rsid w:val="00393AA2"/>
    <w:rsid w:val="00393EA3"/>
    <w:rsid w:val="00394008"/>
    <w:rsid w:val="003943BF"/>
    <w:rsid w:val="00394935"/>
    <w:rsid w:val="003949C9"/>
    <w:rsid w:val="00395BB5"/>
    <w:rsid w:val="00396381"/>
    <w:rsid w:val="003963CD"/>
    <w:rsid w:val="003974A8"/>
    <w:rsid w:val="00397A8C"/>
    <w:rsid w:val="00397ABE"/>
    <w:rsid w:val="00397D09"/>
    <w:rsid w:val="00397EFF"/>
    <w:rsid w:val="00397F36"/>
    <w:rsid w:val="003A024E"/>
    <w:rsid w:val="003A0904"/>
    <w:rsid w:val="003A129F"/>
    <w:rsid w:val="003A1D62"/>
    <w:rsid w:val="003A23CF"/>
    <w:rsid w:val="003A280C"/>
    <w:rsid w:val="003A2A0B"/>
    <w:rsid w:val="003A2F8D"/>
    <w:rsid w:val="003A300D"/>
    <w:rsid w:val="003A3166"/>
    <w:rsid w:val="003A4540"/>
    <w:rsid w:val="003A5A43"/>
    <w:rsid w:val="003A5B8A"/>
    <w:rsid w:val="003A609D"/>
    <w:rsid w:val="003A6930"/>
    <w:rsid w:val="003A6BDF"/>
    <w:rsid w:val="003A7147"/>
    <w:rsid w:val="003A7E77"/>
    <w:rsid w:val="003B0132"/>
    <w:rsid w:val="003B023A"/>
    <w:rsid w:val="003B02CB"/>
    <w:rsid w:val="003B0B3F"/>
    <w:rsid w:val="003B1D08"/>
    <w:rsid w:val="003B2448"/>
    <w:rsid w:val="003B2857"/>
    <w:rsid w:val="003B2A54"/>
    <w:rsid w:val="003B2CCB"/>
    <w:rsid w:val="003B3CCB"/>
    <w:rsid w:val="003B3F54"/>
    <w:rsid w:val="003B3FBE"/>
    <w:rsid w:val="003B4885"/>
    <w:rsid w:val="003B53EB"/>
    <w:rsid w:val="003B55EF"/>
    <w:rsid w:val="003B5A9B"/>
    <w:rsid w:val="003B5C0A"/>
    <w:rsid w:val="003B5DB5"/>
    <w:rsid w:val="003B5ED8"/>
    <w:rsid w:val="003B682D"/>
    <w:rsid w:val="003B74DC"/>
    <w:rsid w:val="003B79CE"/>
    <w:rsid w:val="003C05CB"/>
    <w:rsid w:val="003C080E"/>
    <w:rsid w:val="003C09B8"/>
    <w:rsid w:val="003C09FB"/>
    <w:rsid w:val="003C0DBE"/>
    <w:rsid w:val="003C1B0A"/>
    <w:rsid w:val="003C1B2A"/>
    <w:rsid w:val="003C201A"/>
    <w:rsid w:val="003C23B1"/>
    <w:rsid w:val="003C2BC8"/>
    <w:rsid w:val="003C30D0"/>
    <w:rsid w:val="003C3564"/>
    <w:rsid w:val="003C37F3"/>
    <w:rsid w:val="003C3BE0"/>
    <w:rsid w:val="003C3DED"/>
    <w:rsid w:val="003C41D2"/>
    <w:rsid w:val="003C4EC0"/>
    <w:rsid w:val="003C4F96"/>
    <w:rsid w:val="003C4F9C"/>
    <w:rsid w:val="003C5528"/>
    <w:rsid w:val="003C59FE"/>
    <w:rsid w:val="003C5CCF"/>
    <w:rsid w:val="003C69B8"/>
    <w:rsid w:val="003C6B4B"/>
    <w:rsid w:val="003D013B"/>
    <w:rsid w:val="003D0DC3"/>
    <w:rsid w:val="003D0EC1"/>
    <w:rsid w:val="003D11FB"/>
    <w:rsid w:val="003D1512"/>
    <w:rsid w:val="003D1552"/>
    <w:rsid w:val="003D1553"/>
    <w:rsid w:val="003D177B"/>
    <w:rsid w:val="003D18C7"/>
    <w:rsid w:val="003D1DF9"/>
    <w:rsid w:val="003D2082"/>
    <w:rsid w:val="003D2284"/>
    <w:rsid w:val="003D22E7"/>
    <w:rsid w:val="003D257D"/>
    <w:rsid w:val="003D29A1"/>
    <w:rsid w:val="003D2C72"/>
    <w:rsid w:val="003D2D32"/>
    <w:rsid w:val="003D2D95"/>
    <w:rsid w:val="003D2FB9"/>
    <w:rsid w:val="003D3016"/>
    <w:rsid w:val="003D30DE"/>
    <w:rsid w:val="003D3524"/>
    <w:rsid w:val="003D3CE1"/>
    <w:rsid w:val="003D3CF7"/>
    <w:rsid w:val="003D3D28"/>
    <w:rsid w:val="003D3F51"/>
    <w:rsid w:val="003D427B"/>
    <w:rsid w:val="003D43D3"/>
    <w:rsid w:val="003D4A18"/>
    <w:rsid w:val="003D4EAC"/>
    <w:rsid w:val="003D51F6"/>
    <w:rsid w:val="003D58D9"/>
    <w:rsid w:val="003D6254"/>
    <w:rsid w:val="003D6357"/>
    <w:rsid w:val="003D6365"/>
    <w:rsid w:val="003D6455"/>
    <w:rsid w:val="003D6997"/>
    <w:rsid w:val="003D6A23"/>
    <w:rsid w:val="003D713C"/>
    <w:rsid w:val="003E031C"/>
    <w:rsid w:val="003E0526"/>
    <w:rsid w:val="003E0AA3"/>
    <w:rsid w:val="003E0AFF"/>
    <w:rsid w:val="003E14F0"/>
    <w:rsid w:val="003E15B9"/>
    <w:rsid w:val="003E19D6"/>
    <w:rsid w:val="003E1A8E"/>
    <w:rsid w:val="003E1B6C"/>
    <w:rsid w:val="003E1ED7"/>
    <w:rsid w:val="003E22DA"/>
    <w:rsid w:val="003E259F"/>
    <w:rsid w:val="003E30E7"/>
    <w:rsid w:val="003E32C4"/>
    <w:rsid w:val="003E3FD3"/>
    <w:rsid w:val="003E4123"/>
    <w:rsid w:val="003E428C"/>
    <w:rsid w:val="003E4428"/>
    <w:rsid w:val="003E4759"/>
    <w:rsid w:val="003E4A57"/>
    <w:rsid w:val="003E4BD3"/>
    <w:rsid w:val="003E5422"/>
    <w:rsid w:val="003E5603"/>
    <w:rsid w:val="003E5817"/>
    <w:rsid w:val="003E5CAF"/>
    <w:rsid w:val="003E5DC2"/>
    <w:rsid w:val="003E5F07"/>
    <w:rsid w:val="003E6566"/>
    <w:rsid w:val="003E6876"/>
    <w:rsid w:val="003E6C6C"/>
    <w:rsid w:val="003E6ED4"/>
    <w:rsid w:val="003E6FC2"/>
    <w:rsid w:val="003E72F6"/>
    <w:rsid w:val="003E7346"/>
    <w:rsid w:val="003E74CB"/>
    <w:rsid w:val="003F0A28"/>
    <w:rsid w:val="003F0AEE"/>
    <w:rsid w:val="003F0CF0"/>
    <w:rsid w:val="003F0EE6"/>
    <w:rsid w:val="003F144C"/>
    <w:rsid w:val="003F1514"/>
    <w:rsid w:val="003F1E13"/>
    <w:rsid w:val="003F21C8"/>
    <w:rsid w:val="003F240B"/>
    <w:rsid w:val="003F24E8"/>
    <w:rsid w:val="003F266E"/>
    <w:rsid w:val="003F2725"/>
    <w:rsid w:val="003F2938"/>
    <w:rsid w:val="003F2C8A"/>
    <w:rsid w:val="003F381D"/>
    <w:rsid w:val="003F3C13"/>
    <w:rsid w:val="003F4068"/>
    <w:rsid w:val="003F412A"/>
    <w:rsid w:val="003F4586"/>
    <w:rsid w:val="003F49C3"/>
    <w:rsid w:val="003F4D38"/>
    <w:rsid w:val="003F4E1B"/>
    <w:rsid w:val="003F64D9"/>
    <w:rsid w:val="003F6DFF"/>
    <w:rsid w:val="003F76A8"/>
    <w:rsid w:val="003F7982"/>
    <w:rsid w:val="003F7E0B"/>
    <w:rsid w:val="004003E2"/>
    <w:rsid w:val="00400900"/>
    <w:rsid w:val="00400C1B"/>
    <w:rsid w:val="00400C32"/>
    <w:rsid w:val="00401097"/>
    <w:rsid w:val="00401503"/>
    <w:rsid w:val="004016D2"/>
    <w:rsid w:val="00401886"/>
    <w:rsid w:val="00401AE1"/>
    <w:rsid w:val="00401B18"/>
    <w:rsid w:val="00401DB8"/>
    <w:rsid w:val="00402642"/>
    <w:rsid w:val="004026D3"/>
    <w:rsid w:val="00402DE9"/>
    <w:rsid w:val="00403AE7"/>
    <w:rsid w:val="00404CA4"/>
    <w:rsid w:val="004055FA"/>
    <w:rsid w:val="00405E81"/>
    <w:rsid w:val="00405F82"/>
    <w:rsid w:val="00406340"/>
    <w:rsid w:val="00406972"/>
    <w:rsid w:val="00406EBE"/>
    <w:rsid w:val="00406F45"/>
    <w:rsid w:val="00407184"/>
    <w:rsid w:val="004077EA"/>
    <w:rsid w:val="00407936"/>
    <w:rsid w:val="00410202"/>
    <w:rsid w:val="00410EA5"/>
    <w:rsid w:val="0041143E"/>
    <w:rsid w:val="00411537"/>
    <w:rsid w:val="004124C8"/>
    <w:rsid w:val="00412B95"/>
    <w:rsid w:val="00412BA8"/>
    <w:rsid w:val="00413A56"/>
    <w:rsid w:val="00413C5D"/>
    <w:rsid w:val="00413F40"/>
    <w:rsid w:val="004144AB"/>
    <w:rsid w:val="0041461E"/>
    <w:rsid w:val="00415357"/>
    <w:rsid w:val="004153E5"/>
    <w:rsid w:val="00415C1D"/>
    <w:rsid w:val="00416C99"/>
    <w:rsid w:val="004173B4"/>
    <w:rsid w:val="0041745D"/>
    <w:rsid w:val="00417F87"/>
    <w:rsid w:val="00420189"/>
    <w:rsid w:val="00420376"/>
    <w:rsid w:val="004206B2"/>
    <w:rsid w:val="004209AC"/>
    <w:rsid w:val="004211D1"/>
    <w:rsid w:val="0042160C"/>
    <w:rsid w:val="00421912"/>
    <w:rsid w:val="0042199C"/>
    <w:rsid w:val="004219BB"/>
    <w:rsid w:val="00422709"/>
    <w:rsid w:val="004228C8"/>
    <w:rsid w:val="00422B2D"/>
    <w:rsid w:val="0042328D"/>
    <w:rsid w:val="00423707"/>
    <w:rsid w:val="0042371C"/>
    <w:rsid w:val="00423991"/>
    <w:rsid w:val="00423B58"/>
    <w:rsid w:val="00423F8B"/>
    <w:rsid w:val="004240E9"/>
    <w:rsid w:val="0042430D"/>
    <w:rsid w:val="00424C27"/>
    <w:rsid w:val="00424CA6"/>
    <w:rsid w:val="00424CDB"/>
    <w:rsid w:val="004252BD"/>
    <w:rsid w:val="00426508"/>
    <w:rsid w:val="004268C3"/>
    <w:rsid w:val="00427424"/>
    <w:rsid w:val="004276AB"/>
    <w:rsid w:val="00427BA0"/>
    <w:rsid w:val="00427D64"/>
    <w:rsid w:val="00430222"/>
    <w:rsid w:val="004305B5"/>
    <w:rsid w:val="00430CD5"/>
    <w:rsid w:val="00430D81"/>
    <w:rsid w:val="0043109B"/>
    <w:rsid w:val="00431D91"/>
    <w:rsid w:val="00431E9E"/>
    <w:rsid w:val="004323BC"/>
    <w:rsid w:val="004327BB"/>
    <w:rsid w:val="00432FA0"/>
    <w:rsid w:val="00433001"/>
    <w:rsid w:val="0043382E"/>
    <w:rsid w:val="00433A09"/>
    <w:rsid w:val="00434014"/>
    <w:rsid w:val="004343BE"/>
    <w:rsid w:val="0043468E"/>
    <w:rsid w:val="00434E60"/>
    <w:rsid w:val="004351EF"/>
    <w:rsid w:val="0043521B"/>
    <w:rsid w:val="0043537B"/>
    <w:rsid w:val="004355BC"/>
    <w:rsid w:val="0043561D"/>
    <w:rsid w:val="00435C1D"/>
    <w:rsid w:val="00435FBC"/>
    <w:rsid w:val="0043686B"/>
    <w:rsid w:val="00436965"/>
    <w:rsid w:val="00436C44"/>
    <w:rsid w:val="00436F9C"/>
    <w:rsid w:val="0043789C"/>
    <w:rsid w:val="00437CE3"/>
    <w:rsid w:val="004408AF"/>
    <w:rsid w:val="004408D9"/>
    <w:rsid w:val="00440A64"/>
    <w:rsid w:val="00440A9B"/>
    <w:rsid w:val="00440ECF"/>
    <w:rsid w:val="00440F7B"/>
    <w:rsid w:val="00441120"/>
    <w:rsid w:val="0044127C"/>
    <w:rsid w:val="0044150A"/>
    <w:rsid w:val="004416E8"/>
    <w:rsid w:val="00441A1C"/>
    <w:rsid w:val="00441ABB"/>
    <w:rsid w:val="00441C43"/>
    <w:rsid w:val="004421AD"/>
    <w:rsid w:val="00442798"/>
    <w:rsid w:val="00442D3D"/>
    <w:rsid w:val="00442F4A"/>
    <w:rsid w:val="0044310E"/>
    <w:rsid w:val="0044354E"/>
    <w:rsid w:val="0044363F"/>
    <w:rsid w:val="00443C53"/>
    <w:rsid w:val="00443F09"/>
    <w:rsid w:val="004441D5"/>
    <w:rsid w:val="0044430B"/>
    <w:rsid w:val="004445CA"/>
    <w:rsid w:val="00444615"/>
    <w:rsid w:val="00444806"/>
    <w:rsid w:val="0044485C"/>
    <w:rsid w:val="004449AC"/>
    <w:rsid w:val="004449AF"/>
    <w:rsid w:val="00444A32"/>
    <w:rsid w:val="0044508E"/>
    <w:rsid w:val="004453E7"/>
    <w:rsid w:val="00445BD2"/>
    <w:rsid w:val="00446516"/>
    <w:rsid w:val="0044655F"/>
    <w:rsid w:val="0044674A"/>
    <w:rsid w:val="00446944"/>
    <w:rsid w:val="00446C45"/>
    <w:rsid w:val="00447C57"/>
    <w:rsid w:val="00450045"/>
    <w:rsid w:val="0045043A"/>
    <w:rsid w:val="00450E36"/>
    <w:rsid w:val="00450E9A"/>
    <w:rsid w:val="00451177"/>
    <w:rsid w:val="0045140F"/>
    <w:rsid w:val="00451810"/>
    <w:rsid w:val="00451A3D"/>
    <w:rsid w:val="00452539"/>
    <w:rsid w:val="00452966"/>
    <w:rsid w:val="0045297A"/>
    <w:rsid w:val="00452AEB"/>
    <w:rsid w:val="00452B7D"/>
    <w:rsid w:val="00452C09"/>
    <w:rsid w:val="00452E79"/>
    <w:rsid w:val="00452FE5"/>
    <w:rsid w:val="0045309B"/>
    <w:rsid w:val="00454468"/>
    <w:rsid w:val="004546F1"/>
    <w:rsid w:val="004547C1"/>
    <w:rsid w:val="00454D50"/>
    <w:rsid w:val="004550A1"/>
    <w:rsid w:val="0045520E"/>
    <w:rsid w:val="00455431"/>
    <w:rsid w:val="00455D4C"/>
    <w:rsid w:val="00455F51"/>
    <w:rsid w:val="00456008"/>
    <w:rsid w:val="0045606F"/>
    <w:rsid w:val="004560D9"/>
    <w:rsid w:val="00456561"/>
    <w:rsid w:val="00456F1B"/>
    <w:rsid w:val="00457042"/>
    <w:rsid w:val="0045710E"/>
    <w:rsid w:val="004576F4"/>
    <w:rsid w:val="00457B13"/>
    <w:rsid w:val="00460067"/>
    <w:rsid w:val="0046011D"/>
    <w:rsid w:val="004601D1"/>
    <w:rsid w:val="0046047B"/>
    <w:rsid w:val="0046049A"/>
    <w:rsid w:val="00460778"/>
    <w:rsid w:val="004608D8"/>
    <w:rsid w:val="00460ED1"/>
    <w:rsid w:val="00460F83"/>
    <w:rsid w:val="004618F8"/>
    <w:rsid w:val="0046203D"/>
    <w:rsid w:val="004622BB"/>
    <w:rsid w:val="004625BA"/>
    <w:rsid w:val="00462831"/>
    <w:rsid w:val="004628F4"/>
    <w:rsid w:val="0046295D"/>
    <w:rsid w:val="00462AC2"/>
    <w:rsid w:val="00463D24"/>
    <w:rsid w:val="00463E68"/>
    <w:rsid w:val="004644E1"/>
    <w:rsid w:val="00464605"/>
    <w:rsid w:val="00464CD4"/>
    <w:rsid w:val="00465092"/>
    <w:rsid w:val="004652D9"/>
    <w:rsid w:val="004657D7"/>
    <w:rsid w:val="00466A94"/>
    <w:rsid w:val="00466B24"/>
    <w:rsid w:val="00466CE9"/>
    <w:rsid w:val="0046720C"/>
    <w:rsid w:val="004677A4"/>
    <w:rsid w:val="004677BD"/>
    <w:rsid w:val="0046787C"/>
    <w:rsid w:val="00467D1B"/>
    <w:rsid w:val="00467D57"/>
    <w:rsid w:val="00470713"/>
    <w:rsid w:val="00470A5C"/>
    <w:rsid w:val="0047138A"/>
    <w:rsid w:val="004713CB"/>
    <w:rsid w:val="00471E32"/>
    <w:rsid w:val="004723B6"/>
    <w:rsid w:val="00472582"/>
    <w:rsid w:val="00472756"/>
    <w:rsid w:val="0047287E"/>
    <w:rsid w:val="00472FA4"/>
    <w:rsid w:val="00473578"/>
    <w:rsid w:val="004739F0"/>
    <w:rsid w:val="00473D6C"/>
    <w:rsid w:val="00473F87"/>
    <w:rsid w:val="004740D1"/>
    <w:rsid w:val="004751F0"/>
    <w:rsid w:val="00475642"/>
    <w:rsid w:val="00475E06"/>
    <w:rsid w:val="00476187"/>
    <w:rsid w:val="00476F56"/>
    <w:rsid w:val="00477279"/>
    <w:rsid w:val="00477547"/>
    <w:rsid w:val="00477C2B"/>
    <w:rsid w:val="00477E6F"/>
    <w:rsid w:val="00480760"/>
    <w:rsid w:val="00480832"/>
    <w:rsid w:val="004808CF"/>
    <w:rsid w:val="00480ECF"/>
    <w:rsid w:val="00480F5D"/>
    <w:rsid w:val="00481344"/>
    <w:rsid w:val="004816E7"/>
    <w:rsid w:val="00481929"/>
    <w:rsid w:val="00481CC3"/>
    <w:rsid w:val="004820B3"/>
    <w:rsid w:val="00482771"/>
    <w:rsid w:val="004829A6"/>
    <w:rsid w:val="00482B76"/>
    <w:rsid w:val="00482C20"/>
    <w:rsid w:val="00483432"/>
    <w:rsid w:val="00483620"/>
    <w:rsid w:val="00483D07"/>
    <w:rsid w:val="00483EF5"/>
    <w:rsid w:val="0048450E"/>
    <w:rsid w:val="00484920"/>
    <w:rsid w:val="00485172"/>
    <w:rsid w:val="004852BD"/>
    <w:rsid w:val="004853B5"/>
    <w:rsid w:val="00485467"/>
    <w:rsid w:val="00485591"/>
    <w:rsid w:val="00485925"/>
    <w:rsid w:val="004873C7"/>
    <w:rsid w:val="00487F85"/>
    <w:rsid w:val="00487FE9"/>
    <w:rsid w:val="00490A77"/>
    <w:rsid w:val="00491013"/>
    <w:rsid w:val="0049122B"/>
    <w:rsid w:val="00491B5D"/>
    <w:rsid w:val="0049223F"/>
    <w:rsid w:val="00492538"/>
    <w:rsid w:val="00492554"/>
    <w:rsid w:val="0049395C"/>
    <w:rsid w:val="00493A87"/>
    <w:rsid w:val="004941BC"/>
    <w:rsid w:val="00494463"/>
    <w:rsid w:val="00495048"/>
    <w:rsid w:val="00495152"/>
    <w:rsid w:val="004952EE"/>
    <w:rsid w:val="004965AE"/>
    <w:rsid w:val="004969D9"/>
    <w:rsid w:val="004A0919"/>
    <w:rsid w:val="004A0AEF"/>
    <w:rsid w:val="004A0FDB"/>
    <w:rsid w:val="004A1016"/>
    <w:rsid w:val="004A1357"/>
    <w:rsid w:val="004A1478"/>
    <w:rsid w:val="004A1DF2"/>
    <w:rsid w:val="004A20FE"/>
    <w:rsid w:val="004A23F8"/>
    <w:rsid w:val="004A2D6E"/>
    <w:rsid w:val="004A40AA"/>
    <w:rsid w:val="004A430E"/>
    <w:rsid w:val="004A4367"/>
    <w:rsid w:val="004A4446"/>
    <w:rsid w:val="004A475C"/>
    <w:rsid w:val="004A47FF"/>
    <w:rsid w:val="004A495C"/>
    <w:rsid w:val="004A497D"/>
    <w:rsid w:val="004A564B"/>
    <w:rsid w:val="004A5C0B"/>
    <w:rsid w:val="004A5F96"/>
    <w:rsid w:val="004A6652"/>
    <w:rsid w:val="004A6961"/>
    <w:rsid w:val="004A6A67"/>
    <w:rsid w:val="004A6B16"/>
    <w:rsid w:val="004A70DF"/>
    <w:rsid w:val="004A71B5"/>
    <w:rsid w:val="004A73D3"/>
    <w:rsid w:val="004A7FC3"/>
    <w:rsid w:val="004B025A"/>
    <w:rsid w:val="004B08AE"/>
    <w:rsid w:val="004B134F"/>
    <w:rsid w:val="004B1399"/>
    <w:rsid w:val="004B149C"/>
    <w:rsid w:val="004B1D92"/>
    <w:rsid w:val="004B1F07"/>
    <w:rsid w:val="004B2A2F"/>
    <w:rsid w:val="004B2CE9"/>
    <w:rsid w:val="004B2D5E"/>
    <w:rsid w:val="004B2E99"/>
    <w:rsid w:val="004B310A"/>
    <w:rsid w:val="004B376F"/>
    <w:rsid w:val="004B3F84"/>
    <w:rsid w:val="004B474D"/>
    <w:rsid w:val="004B4CBD"/>
    <w:rsid w:val="004B4D04"/>
    <w:rsid w:val="004B51F4"/>
    <w:rsid w:val="004B538B"/>
    <w:rsid w:val="004B5860"/>
    <w:rsid w:val="004B6271"/>
    <w:rsid w:val="004B631C"/>
    <w:rsid w:val="004B6413"/>
    <w:rsid w:val="004B651B"/>
    <w:rsid w:val="004B6B67"/>
    <w:rsid w:val="004B6B80"/>
    <w:rsid w:val="004B6BAF"/>
    <w:rsid w:val="004B6BD2"/>
    <w:rsid w:val="004B6C6E"/>
    <w:rsid w:val="004B6D41"/>
    <w:rsid w:val="004B701F"/>
    <w:rsid w:val="004B7390"/>
    <w:rsid w:val="004B7967"/>
    <w:rsid w:val="004B7DA2"/>
    <w:rsid w:val="004C06F9"/>
    <w:rsid w:val="004C093B"/>
    <w:rsid w:val="004C0992"/>
    <w:rsid w:val="004C0BAA"/>
    <w:rsid w:val="004C0C45"/>
    <w:rsid w:val="004C15F2"/>
    <w:rsid w:val="004C1EC3"/>
    <w:rsid w:val="004C2457"/>
    <w:rsid w:val="004C284C"/>
    <w:rsid w:val="004C28FE"/>
    <w:rsid w:val="004C2BBB"/>
    <w:rsid w:val="004C362B"/>
    <w:rsid w:val="004C4101"/>
    <w:rsid w:val="004C445C"/>
    <w:rsid w:val="004C4CD6"/>
    <w:rsid w:val="004C518B"/>
    <w:rsid w:val="004C5356"/>
    <w:rsid w:val="004C55F8"/>
    <w:rsid w:val="004C5695"/>
    <w:rsid w:val="004C5963"/>
    <w:rsid w:val="004C5B63"/>
    <w:rsid w:val="004C61F8"/>
    <w:rsid w:val="004C6638"/>
    <w:rsid w:val="004C69CB"/>
    <w:rsid w:val="004C6C8A"/>
    <w:rsid w:val="004C730A"/>
    <w:rsid w:val="004C74CC"/>
    <w:rsid w:val="004C792A"/>
    <w:rsid w:val="004C7972"/>
    <w:rsid w:val="004C7CAF"/>
    <w:rsid w:val="004C7D75"/>
    <w:rsid w:val="004C7F72"/>
    <w:rsid w:val="004D003F"/>
    <w:rsid w:val="004D0340"/>
    <w:rsid w:val="004D05B3"/>
    <w:rsid w:val="004D07DF"/>
    <w:rsid w:val="004D0B4A"/>
    <w:rsid w:val="004D1318"/>
    <w:rsid w:val="004D14F3"/>
    <w:rsid w:val="004D164E"/>
    <w:rsid w:val="004D22F9"/>
    <w:rsid w:val="004D25DB"/>
    <w:rsid w:val="004D2694"/>
    <w:rsid w:val="004D2F9B"/>
    <w:rsid w:val="004D3477"/>
    <w:rsid w:val="004D39E2"/>
    <w:rsid w:val="004D3F94"/>
    <w:rsid w:val="004D4245"/>
    <w:rsid w:val="004D4361"/>
    <w:rsid w:val="004D458B"/>
    <w:rsid w:val="004D5451"/>
    <w:rsid w:val="004D5B05"/>
    <w:rsid w:val="004D5D7F"/>
    <w:rsid w:val="004D5EC7"/>
    <w:rsid w:val="004D6832"/>
    <w:rsid w:val="004D6A51"/>
    <w:rsid w:val="004D70AE"/>
    <w:rsid w:val="004D759B"/>
    <w:rsid w:val="004D7B8A"/>
    <w:rsid w:val="004E04B1"/>
    <w:rsid w:val="004E0830"/>
    <w:rsid w:val="004E08EA"/>
    <w:rsid w:val="004E1000"/>
    <w:rsid w:val="004E1060"/>
    <w:rsid w:val="004E16A3"/>
    <w:rsid w:val="004E1D19"/>
    <w:rsid w:val="004E296A"/>
    <w:rsid w:val="004E3360"/>
    <w:rsid w:val="004E452F"/>
    <w:rsid w:val="004E4915"/>
    <w:rsid w:val="004E4991"/>
    <w:rsid w:val="004E4B3B"/>
    <w:rsid w:val="004E5490"/>
    <w:rsid w:val="004E56B2"/>
    <w:rsid w:val="004E57C2"/>
    <w:rsid w:val="004E6588"/>
    <w:rsid w:val="004E6A68"/>
    <w:rsid w:val="004E72D1"/>
    <w:rsid w:val="004E756F"/>
    <w:rsid w:val="004E7D4D"/>
    <w:rsid w:val="004F05DE"/>
    <w:rsid w:val="004F0662"/>
    <w:rsid w:val="004F066E"/>
    <w:rsid w:val="004F0835"/>
    <w:rsid w:val="004F090A"/>
    <w:rsid w:val="004F0B18"/>
    <w:rsid w:val="004F0C4D"/>
    <w:rsid w:val="004F155E"/>
    <w:rsid w:val="004F18CF"/>
    <w:rsid w:val="004F1FA4"/>
    <w:rsid w:val="004F26F0"/>
    <w:rsid w:val="004F2782"/>
    <w:rsid w:val="004F284D"/>
    <w:rsid w:val="004F29E0"/>
    <w:rsid w:val="004F32D6"/>
    <w:rsid w:val="004F48A9"/>
    <w:rsid w:val="004F4B3A"/>
    <w:rsid w:val="004F5180"/>
    <w:rsid w:val="004F5331"/>
    <w:rsid w:val="004F587D"/>
    <w:rsid w:val="004F5A12"/>
    <w:rsid w:val="004F5F61"/>
    <w:rsid w:val="004F6558"/>
    <w:rsid w:val="004F65D5"/>
    <w:rsid w:val="004F7BE6"/>
    <w:rsid w:val="005006EA"/>
    <w:rsid w:val="00500752"/>
    <w:rsid w:val="00500A31"/>
    <w:rsid w:val="00500A48"/>
    <w:rsid w:val="00500C8B"/>
    <w:rsid w:val="00500D3E"/>
    <w:rsid w:val="00501A6B"/>
    <w:rsid w:val="00502117"/>
    <w:rsid w:val="00502D7E"/>
    <w:rsid w:val="005035D9"/>
    <w:rsid w:val="00503A40"/>
    <w:rsid w:val="00503E81"/>
    <w:rsid w:val="00503F20"/>
    <w:rsid w:val="00504C7D"/>
    <w:rsid w:val="00505173"/>
    <w:rsid w:val="005058C0"/>
    <w:rsid w:val="00505F0D"/>
    <w:rsid w:val="005069EE"/>
    <w:rsid w:val="00506ED1"/>
    <w:rsid w:val="005071AB"/>
    <w:rsid w:val="005077DE"/>
    <w:rsid w:val="005079C4"/>
    <w:rsid w:val="00507DAC"/>
    <w:rsid w:val="00507E16"/>
    <w:rsid w:val="00507E8E"/>
    <w:rsid w:val="005104AD"/>
    <w:rsid w:val="00510766"/>
    <w:rsid w:val="00511154"/>
    <w:rsid w:val="0051197E"/>
    <w:rsid w:val="00511B66"/>
    <w:rsid w:val="00512551"/>
    <w:rsid w:val="00512716"/>
    <w:rsid w:val="0051280B"/>
    <w:rsid w:val="00513238"/>
    <w:rsid w:val="005132A4"/>
    <w:rsid w:val="00513414"/>
    <w:rsid w:val="005136A5"/>
    <w:rsid w:val="00513786"/>
    <w:rsid w:val="0051414C"/>
    <w:rsid w:val="00514541"/>
    <w:rsid w:val="005147AE"/>
    <w:rsid w:val="00514E37"/>
    <w:rsid w:val="00514ED5"/>
    <w:rsid w:val="005153DB"/>
    <w:rsid w:val="00515632"/>
    <w:rsid w:val="00515A4F"/>
    <w:rsid w:val="00515AB5"/>
    <w:rsid w:val="00515C21"/>
    <w:rsid w:val="005160AC"/>
    <w:rsid w:val="00516345"/>
    <w:rsid w:val="005165B4"/>
    <w:rsid w:val="00516B1C"/>
    <w:rsid w:val="005172E2"/>
    <w:rsid w:val="00517B8E"/>
    <w:rsid w:val="00517C6B"/>
    <w:rsid w:val="00517CD4"/>
    <w:rsid w:val="00517E8C"/>
    <w:rsid w:val="0052008E"/>
    <w:rsid w:val="005207E1"/>
    <w:rsid w:val="00520BE9"/>
    <w:rsid w:val="00520BFE"/>
    <w:rsid w:val="00520C83"/>
    <w:rsid w:val="0052121A"/>
    <w:rsid w:val="00521725"/>
    <w:rsid w:val="00521D3F"/>
    <w:rsid w:val="00521F41"/>
    <w:rsid w:val="0052218E"/>
    <w:rsid w:val="00522911"/>
    <w:rsid w:val="00522A49"/>
    <w:rsid w:val="00522B6B"/>
    <w:rsid w:val="00522C04"/>
    <w:rsid w:val="00522E0F"/>
    <w:rsid w:val="0052321E"/>
    <w:rsid w:val="00523373"/>
    <w:rsid w:val="005235CD"/>
    <w:rsid w:val="00523BA9"/>
    <w:rsid w:val="00523CAB"/>
    <w:rsid w:val="00523F28"/>
    <w:rsid w:val="0052413E"/>
    <w:rsid w:val="00524416"/>
    <w:rsid w:val="005249CB"/>
    <w:rsid w:val="00524A1A"/>
    <w:rsid w:val="00524CA2"/>
    <w:rsid w:val="00524D56"/>
    <w:rsid w:val="00524EDA"/>
    <w:rsid w:val="00524FFF"/>
    <w:rsid w:val="00525D1E"/>
    <w:rsid w:val="00526213"/>
    <w:rsid w:val="0052640A"/>
    <w:rsid w:val="005264E9"/>
    <w:rsid w:val="00526615"/>
    <w:rsid w:val="00527048"/>
    <w:rsid w:val="0052707F"/>
    <w:rsid w:val="0052752D"/>
    <w:rsid w:val="005278EA"/>
    <w:rsid w:val="00527A05"/>
    <w:rsid w:val="00527A61"/>
    <w:rsid w:val="0053025E"/>
    <w:rsid w:val="005307B7"/>
    <w:rsid w:val="00530915"/>
    <w:rsid w:val="00530B8B"/>
    <w:rsid w:val="00530E29"/>
    <w:rsid w:val="00530F1D"/>
    <w:rsid w:val="00530FA0"/>
    <w:rsid w:val="0053194C"/>
    <w:rsid w:val="005319C8"/>
    <w:rsid w:val="00531AC3"/>
    <w:rsid w:val="00531CBA"/>
    <w:rsid w:val="00531D65"/>
    <w:rsid w:val="00532395"/>
    <w:rsid w:val="00532996"/>
    <w:rsid w:val="00532A9D"/>
    <w:rsid w:val="00532ECB"/>
    <w:rsid w:val="0053339A"/>
    <w:rsid w:val="00533905"/>
    <w:rsid w:val="00534962"/>
    <w:rsid w:val="00534B6B"/>
    <w:rsid w:val="005350D8"/>
    <w:rsid w:val="00535192"/>
    <w:rsid w:val="00535625"/>
    <w:rsid w:val="005356B9"/>
    <w:rsid w:val="00535D58"/>
    <w:rsid w:val="005361AE"/>
    <w:rsid w:val="00536237"/>
    <w:rsid w:val="0053694F"/>
    <w:rsid w:val="00536A62"/>
    <w:rsid w:val="00536B10"/>
    <w:rsid w:val="00536D70"/>
    <w:rsid w:val="0053703A"/>
    <w:rsid w:val="00537052"/>
    <w:rsid w:val="00537487"/>
    <w:rsid w:val="00537548"/>
    <w:rsid w:val="00540529"/>
    <w:rsid w:val="0054065A"/>
    <w:rsid w:val="005409ED"/>
    <w:rsid w:val="00540ABB"/>
    <w:rsid w:val="00540C02"/>
    <w:rsid w:val="00540CA1"/>
    <w:rsid w:val="00540DB4"/>
    <w:rsid w:val="00540E40"/>
    <w:rsid w:val="00540F85"/>
    <w:rsid w:val="00542004"/>
    <w:rsid w:val="00542822"/>
    <w:rsid w:val="00542A01"/>
    <w:rsid w:val="00542E30"/>
    <w:rsid w:val="00542FEA"/>
    <w:rsid w:val="00543AB9"/>
    <w:rsid w:val="005440D8"/>
    <w:rsid w:val="005443A2"/>
    <w:rsid w:val="0054452E"/>
    <w:rsid w:val="00544B0C"/>
    <w:rsid w:val="0054516C"/>
    <w:rsid w:val="00545296"/>
    <w:rsid w:val="005452D9"/>
    <w:rsid w:val="0054532A"/>
    <w:rsid w:val="005456D5"/>
    <w:rsid w:val="00545C71"/>
    <w:rsid w:val="00545CFF"/>
    <w:rsid w:val="005460DF"/>
    <w:rsid w:val="00546182"/>
    <w:rsid w:val="0054658A"/>
    <w:rsid w:val="005466B9"/>
    <w:rsid w:val="00546870"/>
    <w:rsid w:val="005468BA"/>
    <w:rsid w:val="00546BB4"/>
    <w:rsid w:val="00546C5F"/>
    <w:rsid w:val="00546DE9"/>
    <w:rsid w:val="00546F6B"/>
    <w:rsid w:val="00547595"/>
    <w:rsid w:val="00547EFD"/>
    <w:rsid w:val="00550054"/>
    <w:rsid w:val="0055060E"/>
    <w:rsid w:val="00550989"/>
    <w:rsid w:val="00550C77"/>
    <w:rsid w:val="00550CB5"/>
    <w:rsid w:val="00550F4E"/>
    <w:rsid w:val="005510EB"/>
    <w:rsid w:val="00551134"/>
    <w:rsid w:val="005515E5"/>
    <w:rsid w:val="005521D7"/>
    <w:rsid w:val="00552A54"/>
    <w:rsid w:val="00552ABA"/>
    <w:rsid w:val="00552FCF"/>
    <w:rsid w:val="00553340"/>
    <w:rsid w:val="00553AA8"/>
    <w:rsid w:val="00553C7A"/>
    <w:rsid w:val="00553E24"/>
    <w:rsid w:val="00553E8D"/>
    <w:rsid w:val="00554256"/>
    <w:rsid w:val="005546DF"/>
    <w:rsid w:val="005548B3"/>
    <w:rsid w:val="005548CB"/>
    <w:rsid w:val="00554BF1"/>
    <w:rsid w:val="00554DE4"/>
    <w:rsid w:val="005553EB"/>
    <w:rsid w:val="00555A90"/>
    <w:rsid w:val="00555E79"/>
    <w:rsid w:val="00556286"/>
    <w:rsid w:val="005565C3"/>
    <w:rsid w:val="00556617"/>
    <w:rsid w:val="00556A13"/>
    <w:rsid w:val="00556D6E"/>
    <w:rsid w:val="00556D94"/>
    <w:rsid w:val="00556F14"/>
    <w:rsid w:val="00557A13"/>
    <w:rsid w:val="00557FC2"/>
    <w:rsid w:val="005609D1"/>
    <w:rsid w:val="00560A9F"/>
    <w:rsid w:val="005615F0"/>
    <w:rsid w:val="00561648"/>
    <w:rsid w:val="00561A3C"/>
    <w:rsid w:val="00561D89"/>
    <w:rsid w:val="0056227F"/>
    <w:rsid w:val="00562552"/>
    <w:rsid w:val="00562584"/>
    <w:rsid w:val="005625D6"/>
    <w:rsid w:val="0056273D"/>
    <w:rsid w:val="0056274E"/>
    <w:rsid w:val="005629F7"/>
    <w:rsid w:val="00562BFB"/>
    <w:rsid w:val="00562CF7"/>
    <w:rsid w:val="00562F1F"/>
    <w:rsid w:val="00562FC0"/>
    <w:rsid w:val="005631A8"/>
    <w:rsid w:val="00563E8B"/>
    <w:rsid w:val="005649D3"/>
    <w:rsid w:val="005650C5"/>
    <w:rsid w:val="00565338"/>
    <w:rsid w:val="0056597A"/>
    <w:rsid w:val="00565CA7"/>
    <w:rsid w:val="0056657C"/>
    <w:rsid w:val="00566D92"/>
    <w:rsid w:val="005673C1"/>
    <w:rsid w:val="00567C29"/>
    <w:rsid w:val="00567CEF"/>
    <w:rsid w:val="00567DF8"/>
    <w:rsid w:val="00567F35"/>
    <w:rsid w:val="0057015B"/>
    <w:rsid w:val="0057120A"/>
    <w:rsid w:val="00571CC2"/>
    <w:rsid w:val="0057216E"/>
    <w:rsid w:val="0057257D"/>
    <w:rsid w:val="00572904"/>
    <w:rsid w:val="00572924"/>
    <w:rsid w:val="0057295A"/>
    <w:rsid w:val="0057379B"/>
    <w:rsid w:val="00573A62"/>
    <w:rsid w:val="00574247"/>
    <w:rsid w:val="00574F77"/>
    <w:rsid w:val="005768D1"/>
    <w:rsid w:val="00576967"/>
    <w:rsid w:val="00577909"/>
    <w:rsid w:val="00577F48"/>
    <w:rsid w:val="0058011E"/>
    <w:rsid w:val="005807C3"/>
    <w:rsid w:val="00580A6F"/>
    <w:rsid w:val="00581299"/>
    <w:rsid w:val="00581A38"/>
    <w:rsid w:val="00581AC8"/>
    <w:rsid w:val="00581FDE"/>
    <w:rsid w:val="00582C9B"/>
    <w:rsid w:val="00582DED"/>
    <w:rsid w:val="00582E3E"/>
    <w:rsid w:val="00582F38"/>
    <w:rsid w:val="00583344"/>
    <w:rsid w:val="005835BF"/>
    <w:rsid w:val="00584586"/>
    <w:rsid w:val="00584C6E"/>
    <w:rsid w:val="00584CE7"/>
    <w:rsid w:val="00584E0B"/>
    <w:rsid w:val="005854A1"/>
    <w:rsid w:val="005854C6"/>
    <w:rsid w:val="00586305"/>
    <w:rsid w:val="00586597"/>
    <w:rsid w:val="00586711"/>
    <w:rsid w:val="00586849"/>
    <w:rsid w:val="00586F0C"/>
    <w:rsid w:val="0058703F"/>
    <w:rsid w:val="00587139"/>
    <w:rsid w:val="00587154"/>
    <w:rsid w:val="00587179"/>
    <w:rsid w:val="005871A0"/>
    <w:rsid w:val="005872E8"/>
    <w:rsid w:val="00587C9A"/>
    <w:rsid w:val="005906A6"/>
    <w:rsid w:val="00590B51"/>
    <w:rsid w:val="00590D98"/>
    <w:rsid w:val="005911CE"/>
    <w:rsid w:val="00591205"/>
    <w:rsid w:val="00591DA3"/>
    <w:rsid w:val="0059207C"/>
    <w:rsid w:val="005922A7"/>
    <w:rsid w:val="00592B7A"/>
    <w:rsid w:val="00592C64"/>
    <w:rsid w:val="00593942"/>
    <w:rsid w:val="00593BDE"/>
    <w:rsid w:val="0059402B"/>
    <w:rsid w:val="00594111"/>
    <w:rsid w:val="00594534"/>
    <w:rsid w:val="00594AB6"/>
    <w:rsid w:val="00594AC6"/>
    <w:rsid w:val="00595285"/>
    <w:rsid w:val="005952B2"/>
    <w:rsid w:val="005959FB"/>
    <w:rsid w:val="00595C54"/>
    <w:rsid w:val="00595F1E"/>
    <w:rsid w:val="0059668B"/>
    <w:rsid w:val="00596863"/>
    <w:rsid w:val="00596B8D"/>
    <w:rsid w:val="00596C96"/>
    <w:rsid w:val="005974D9"/>
    <w:rsid w:val="005A07C8"/>
    <w:rsid w:val="005A094A"/>
    <w:rsid w:val="005A0B86"/>
    <w:rsid w:val="005A0C27"/>
    <w:rsid w:val="005A0D1A"/>
    <w:rsid w:val="005A172E"/>
    <w:rsid w:val="005A1B7E"/>
    <w:rsid w:val="005A20E9"/>
    <w:rsid w:val="005A27EB"/>
    <w:rsid w:val="005A2A14"/>
    <w:rsid w:val="005A2A4F"/>
    <w:rsid w:val="005A301E"/>
    <w:rsid w:val="005A3463"/>
    <w:rsid w:val="005A4054"/>
    <w:rsid w:val="005A405E"/>
    <w:rsid w:val="005A4454"/>
    <w:rsid w:val="005A44A0"/>
    <w:rsid w:val="005A46D2"/>
    <w:rsid w:val="005A50BF"/>
    <w:rsid w:val="005A5BE9"/>
    <w:rsid w:val="005A65B2"/>
    <w:rsid w:val="005A6F75"/>
    <w:rsid w:val="005A7501"/>
    <w:rsid w:val="005A7850"/>
    <w:rsid w:val="005A7BA6"/>
    <w:rsid w:val="005B0986"/>
    <w:rsid w:val="005B1001"/>
    <w:rsid w:val="005B15D7"/>
    <w:rsid w:val="005B1786"/>
    <w:rsid w:val="005B1984"/>
    <w:rsid w:val="005B19B9"/>
    <w:rsid w:val="005B1FF7"/>
    <w:rsid w:val="005B205D"/>
    <w:rsid w:val="005B2693"/>
    <w:rsid w:val="005B26D3"/>
    <w:rsid w:val="005B271C"/>
    <w:rsid w:val="005B273A"/>
    <w:rsid w:val="005B2998"/>
    <w:rsid w:val="005B3883"/>
    <w:rsid w:val="005B38BB"/>
    <w:rsid w:val="005B3E13"/>
    <w:rsid w:val="005B3FED"/>
    <w:rsid w:val="005B45A1"/>
    <w:rsid w:val="005B5094"/>
    <w:rsid w:val="005B50FD"/>
    <w:rsid w:val="005B56FB"/>
    <w:rsid w:val="005B5875"/>
    <w:rsid w:val="005B5A76"/>
    <w:rsid w:val="005B5B25"/>
    <w:rsid w:val="005B5C39"/>
    <w:rsid w:val="005B5FFF"/>
    <w:rsid w:val="005B6536"/>
    <w:rsid w:val="005B6554"/>
    <w:rsid w:val="005B6DBA"/>
    <w:rsid w:val="005B6FB1"/>
    <w:rsid w:val="005B73D2"/>
    <w:rsid w:val="005B7824"/>
    <w:rsid w:val="005C08CB"/>
    <w:rsid w:val="005C124D"/>
    <w:rsid w:val="005C162F"/>
    <w:rsid w:val="005C17FA"/>
    <w:rsid w:val="005C1964"/>
    <w:rsid w:val="005C28A1"/>
    <w:rsid w:val="005C2FE7"/>
    <w:rsid w:val="005C3112"/>
    <w:rsid w:val="005C3224"/>
    <w:rsid w:val="005C3C50"/>
    <w:rsid w:val="005C3D0D"/>
    <w:rsid w:val="005C3F59"/>
    <w:rsid w:val="005C4A7C"/>
    <w:rsid w:val="005C4D25"/>
    <w:rsid w:val="005C4FC7"/>
    <w:rsid w:val="005C52BD"/>
    <w:rsid w:val="005C53B3"/>
    <w:rsid w:val="005C59C9"/>
    <w:rsid w:val="005C5DCB"/>
    <w:rsid w:val="005C6327"/>
    <w:rsid w:val="005C70E4"/>
    <w:rsid w:val="005C76F6"/>
    <w:rsid w:val="005C7A3C"/>
    <w:rsid w:val="005D0682"/>
    <w:rsid w:val="005D0C23"/>
    <w:rsid w:val="005D17B2"/>
    <w:rsid w:val="005D1B66"/>
    <w:rsid w:val="005D2425"/>
    <w:rsid w:val="005D2955"/>
    <w:rsid w:val="005D2F89"/>
    <w:rsid w:val="005D2FEA"/>
    <w:rsid w:val="005D334B"/>
    <w:rsid w:val="005D384E"/>
    <w:rsid w:val="005D38EE"/>
    <w:rsid w:val="005D39D4"/>
    <w:rsid w:val="005D3CDC"/>
    <w:rsid w:val="005D3E34"/>
    <w:rsid w:val="005D461B"/>
    <w:rsid w:val="005D470C"/>
    <w:rsid w:val="005D477D"/>
    <w:rsid w:val="005D4E6E"/>
    <w:rsid w:val="005D4F4A"/>
    <w:rsid w:val="005D5393"/>
    <w:rsid w:val="005D5898"/>
    <w:rsid w:val="005D61DA"/>
    <w:rsid w:val="005D6DDC"/>
    <w:rsid w:val="005D7171"/>
    <w:rsid w:val="005D7430"/>
    <w:rsid w:val="005D76CD"/>
    <w:rsid w:val="005D7717"/>
    <w:rsid w:val="005D7A3F"/>
    <w:rsid w:val="005E0041"/>
    <w:rsid w:val="005E00A2"/>
    <w:rsid w:val="005E0520"/>
    <w:rsid w:val="005E063D"/>
    <w:rsid w:val="005E0965"/>
    <w:rsid w:val="005E0ADB"/>
    <w:rsid w:val="005E0CB6"/>
    <w:rsid w:val="005E0EFC"/>
    <w:rsid w:val="005E10BD"/>
    <w:rsid w:val="005E1407"/>
    <w:rsid w:val="005E1C2F"/>
    <w:rsid w:val="005E1D1B"/>
    <w:rsid w:val="005E2BDF"/>
    <w:rsid w:val="005E3294"/>
    <w:rsid w:val="005E335F"/>
    <w:rsid w:val="005E36C5"/>
    <w:rsid w:val="005E3D19"/>
    <w:rsid w:val="005E4173"/>
    <w:rsid w:val="005E4419"/>
    <w:rsid w:val="005E47C5"/>
    <w:rsid w:val="005E4D50"/>
    <w:rsid w:val="005E4EC9"/>
    <w:rsid w:val="005E4EE6"/>
    <w:rsid w:val="005E55FC"/>
    <w:rsid w:val="005E5A7B"/>
    <w:rsid w:val="005E5B31"/>
    <w:rsid w:val="005E5D43"/>
    <w:rsid w:val="005E63A5"/>
    <w:rsid w:val="005E6A19"/>
    <w:rsid w:val="005E6B7E"/>
    <w:rsid w:val="005E6FD1"/>
    <w:rsid w:val="005E70CA"/>
    <w:rsid w:val="005E751F"/>
    <w:rsid w:val="005E768D"/>
    <w:rsid w:val="005E76AC"/>
    <w:rsid w:val="005E76F2"/>
    <w:rsid w:val="005F0144"/>
    <w:rsid w:val="005F01E6"/>
    <w:rsid w:val="005F0221"/>
    <w:rsid w:val="005F0584"/>
    <w:rsid w:val="005F09F7"/>
    <w:rsid w:val="005F0AC6"/>
    <w:rsid w:val="005F0E30"/>
    <w:rsid w:val="005F11C4"/>
    <w:rsid w:val="005F1387"/>
    <w:rsid w:val="005F1A86"/>
    <w:rsid w:val="005F1AE2"/>
    <w:rsid w:val="005F1FA0"/>
    <w:rsid w:val="005F2EBC"/>
    <w:rsid w:val="005F2F5A"/>
    <w:rsid w:val="005F3035"/>
    <w:rsid w:val="005F311E"/>
    <w:rsid w:val="005F3525"/>
    <w:rsid w:val="005F3862"/>
    <w:rsid w:val="005F3EDA"/>
    <w:rsid w:val="005F42D4"/>
    <w:rsid w:val="005F44DF"/>
    <w:rsid w:val="005F4696"/>
    <w:rsid w:val="005F475D"/>
    <w:rsid w:val="005F48C9"/>
    <w:rsid w:val="005F4A95"/>
    <w:rsid w:val="005F4BC9"/>
    <w:rsid w:val="005F517A"/>
    <w:rsid w:val="005F55D9"/>
    <w:rsid w:val="005F5633"/>
    <w:rsid w:val="005F57AF"/>
    <w:rsid w:val="005F5D13"/>
    <w:rsid w:val="005F5E08"/>
    <w:rsid w:val="005F5F01"/>
    <w:rsid w:val="005F6088"/>
    <w:rsid w:val="005F61F2"/>
    <w:rsid w:val="005F61FD"/>
    <w:rsid w:val="005F6348"/>
    <w:rsid w:val="005F6E04"/>
    <w:rsid w:val="005F707B"/>
    <w:rsid w:val="005F75F5"/>
    <w:rsid w:val="005F7667"/>
    <w:rsid w:val="005F792B"/>
    <w:rsid w:val="00600293"/>
    <w:rsid w:val="0060056D"/>
    <w:rsid w:val="00600AE3"/>
    <w:rsid w:val="006016C0"/>
    <w:rsid w:val="00601CBC"/>
    <w:rsid w:val="00601D53"/>
    <w:rsid w:val="006020E5"/>
    <w:rsid w:val="006024AD"/>
    <w:rsid w:val="00602A3C"/>
    <w:rsid w:val="00602A68"/>
    <w:rsid w:val="00602C05"/>
    <w:rsid w:val="00605265"/>
    <w:rsid w:val="00605373"/>
    <w:rsid w:val="006056DF"/>
    <w:rsid w:val="00606B91"/>
    <w:rsid w:val="00607251"/>
    <w:rsid w:val="00607275"/>
    <w:rsid w:val="006072FB"/>
    <w:rsid w:val="0060730F"/>
    <w:rsid w:val="00607610"/>
    <w:rsid w:val="00607E68"/>
    <w:rsid w:val="006100AC"/>
    <w:rsid w:val="0061055A"/>
    <w:rsid w:val="00610A32"/>
    <w:rsid w:val="00610ACD"/>
    <w:rsid w:val="00610E88"/>
    <w:rsid w:val="00611088"/>
    <w:rsid w:val="00611090"/>
    <w:rsid w:val="006111E2"/>
    <w:rsid w:val="0061136E"/>
    <w:rsid w:val="0061168D"/>
    <w:rsid w:val="00612081"/>
    <w:rsid w:val="006126C7"/>
    <w:rsid w:val="0061298D"/>
    <w:rsid w:val="006129B0"/>
    <w:rsid w:val="00612BBB"/>
    <w:rsid w:val="00612C65"/>
    <w:rsid w:val="0061343D"/>
    <w:rsid w:val="006137A0"/>
    <w:rsid w:val="00614128"/>
    <w:rsid w:val="006149A4"/>
    <w:rsid w:val="006150A3"/>
    <w:rsid w:val="00615306"/>
    <w:rsid w:val="00615743"/>
    <w:rsid w:val="006158F4"/>
    <w:rsid w:val="00615A42"/>
    <w:rsid w:val="00615B9A"/>
    <w:rsid w:val="006167DA"/>
    <w:rsid w:val="00616A46"/>
    <w:rsid w:val="00616B2E"/>
    <w:rsid w:val="00617D10"/>
    <w:rsid w:val="006200DC"/>
    <w:rsid w:val="0062060E"/>
    <w:rsid w:val="0062075C"/>
    <w:rsid w:val="00620C36"/>
    <w:rsid w:val="00620C57"/>
    <w:rsid w:val="00621A7A"/>
    <w:rsid w:val="00622789"/>
    <w:rsid w:val="00622841"/>
    <w:rsid w:val="006228AB"/>
    <w:rsid w:val="00622D8C"/>
    <w:rsid w:val="00623163"/>
    <w:rsid w:val="006233DE"/>
    <w:rsid w:val="006235BA"/>
    <w:rsid w:val="0062363A"/>
    <w:rsid w:val="0062364B"/>
    <w:rsid w:val="00623DBA"/>
    <w:rsid w:val="00623FE0"/>
    <w:rsid w:val="0062417E"/>
    <w:rsid w:val="006242BB"/>
    <w:rsid w:val="006245F6"/>
    <w:rsid w:val="00625326"/>
    <w:rsid w:val="00625533"/>
    <w:rsid w:val="0062584E"/>
    <w:rsid w:val="00626067"/>
    <w:rsid w:val="00626821"/>
    <w:rsid w:val="00626854"/>
    <w:rsid w:val="00626A9D"/>
    <w:rsid w:val="00626DD5"/>
    <w:rsid w:val="00627AA9"/>
    <w:rsid w:val="0063043F"/>
    <w:rsid w:val="00631DA2"/>
    <w:rsid w:val="00631DCB"/>
    <w:rsid w:val="00632368"/>
    <w:rsid w:val="00632563"/>
    <w:rsid w:val="006325D0"/>
    <w:rsid w:val="00632D45"/>
    <w:rsid w:val="00632FCB"/>
    <w:rsid w:val="00633036"/>
    <w:rsid w:val="006332C9"/>
    <w:rsid w:val="006336F0"/>
    <w:rsid w:val="00633ADC"/>
    <w:rsid w:val="0063432F"/>
    <w:rsid w:val="006343E3"/>
    <w:rsid w:val="00634740"/>
    <w:rsid w:val="00634796"/>
    <w:rsid w:val="0063497C"/>
    <w:rsid w:val="006353F5"/>
    <w:rsid w:val="006357CC"/>
    <w:rsid w:val="00635C20"/>
    <w:rsid w:val="006361FC"/>
    <w:rsid w:val="00636A47"/>
    <w:rsid w:val="00637AA2"/>
    <w:rsid w:val="00637B3B"/>
    <w:rsid w:val="0064068E"/>
    <w:rsid w:val="00640C62"/>
    <w:rsid w:val="00640D84"/>
    <w:rsid w:val="00641F10"/>
    <w:rsid w:val="00641FB2"/>
    <w:rsid w:val="00642776"/>
    <w:rsid w:val="0064287F"/>
    <w:rsid w:val="00643A54"/>
    <w:rsid w:val="00643B1E"/>
    <w:rsid w:val="0064455D"/>
    <w:rsid w:val="00644E1E"/>
    <w:rsid w:val="0064508E"/>
    <w:rsid w:val="006450E9"/>
    <w:rsid w:val="006450ED"/>
    <w:rsid w:val="0064546B"/>
    <w:rsid w:val="00645477"/>
    <w:rsid w:val="00645878"/>
    <w:rsid w:val="00645959"/>
    <w:rsid w:val="00645D4C"/>
    <w:rsid w:val="00646156"/>
    <w:rsid w:val="0064636F"/>
    <w:rsid w:val="006465FE"/>
    <w:rsid w:val="006467A0"/>
    <w:rsid w:val="00646E7A"/>
    <w:rsid w:val="00647152"/>
    <w:rsid w:val="00647447"/>
    <w:rsid w:val="00647B86"/>
    <w:rsid w:val="00647E07"/>
    <w:rsid w:val="00650B1C"/>
    <w:rsid w:val="00650BDE"/>
    <w:rsid w:val="00650CD6"/>
    <w:rsid w:val="006512E9"/>
    <w:rsid w:val="006513ED"/>
    <w:rsid w:val="00651618"/>
    <w:rsid w:val="00651845"/>
    <w:rsid w:val="00651B87"/>
    <w:rsid w:val="00651D2B"/>
    <w:rsid w:val="00652C3A"/>
    <w:rsid w:val="00652EFD"/>
    <w:rsid w:val="00653505"/>
    <w:rsid w:val="00654071"/>
    <w:rsid w:val="00654283"/>
    <w:rsid w:val="00655740"/>
    <w:rsid w:val="006558B9"/>
    <w:rsid w:val="00655ACA"/>
    <w:rsid w:val="00656088"/>
    <w:rsid w:val="00656232"/>
    <w:rsid w:val="00656A5D"/>
    <w:rsid w:val="00656A93"/>
    <w:rsid w:val="0065743C"/>
    <w:rsid w:val="006576F9"/>
    <w:rsid w:val="006578E1"/>
    <w:rsid w:val="006579FB"/>
    <w:rsid w:val="00657E5F"/>
    <w:rsid w:val="00660382"/>
    <w:rsid w:val="00660859"/>
    <w:rsid w:val="00660D82"/>
    <w:rsid w:val="00661ADE"/>
    <w:rsid w:val="00661D8D"/>
    <w:rsid w:val="00661ECF"/>
    <w:rsid w:val="00661FB7"/>
    <w:rsid w:val="00662157"/>
    <w:rsid w:val="00662188"/>
    <w:rsid w:val="00662439"/>
    <w:rsid w:val="00662AF7"/>
    <w:rsid w:val="00662BA4"/>
    <w:rsid w:val="006630AD"/>
    <w:rsid w:val="00663140"/>
    <w:rsid w:val="006634F6"/>
    <w:rsid w:val="00663500"/>
    <w:rsid w:val="00663B3B"/>
    <w:rsid w:val="00663CE7"/>
    <w:rsid w:val="00663D5B"/>
    <w:rsid w:val="00663D97"/>
    <w:rsid w:val="00664327"/>
    <w:rsid w:val="00664348"/>
    <w:rsid w:val="0066488D"/>
    <w:rsid w:val="00664AB1"/>
    <w:rsid w:val="00664EE1"/>
    <w:rsid w:val="0066528E"/>
    <w:rsid w:val="00666259"/>
    <w:rsid w:val="006662D1"/>
    <w:rsid w:val="00666554"/>
    <w:rsid w:val="00666636"/>
    <w:rsid w:val="00667164"/>
    <w:rsid w:val="0066749C"/>
    <w:rsid w:val="00670172"/>
    <w:rsid w:val="006707C0"/>
    <w:rsid w:val="006707F5"/>
    <w:rsid w:val="00670A6A"/>
    <w:rsid w:val="006714F2"/>
    <w:rsid w:val="00672006"/>
    <w:rsid w:val="0067230A"/>
    <w:rsid w:val="006725F8"/>
    <w:rsid w:val="0067261B"/>
    <w:rsid w:val="00672849"/>
    <w:rsid w:val="00674288"/>
    <w:rsid w:val="006744D9"/>
    <w:rsid w:val="00674E73"/>
    <w:rsid w:val="00675416"/>
    <w:rsid w:val="006759F3"/>
    <w:rsid w:val="006760CC"/>
    <w:rsid w:val="0067632D"/>
    <w:rsid w:val="0067677F"/>
    <w:rsid w:val="00676783"/>
    <w:rsid w:val="00676E88"/>
    <w:rsid w:val="006771A0"/>
    <w:rsid w:val="00677518"/>
    <w:rsid w:val="00677876"/>
    <w:rsid w:val="006779A4"/>
    <w:rsid w:val="00677B23"/>
    <w:rsid w:val="00682868"/>
    <w:rsid w:val="006828E7"/>
    <w:rsid w:val="00682B32"/>
    <w:rsid w:val="00683216"/>
    <w:rsid w:val="00683ABD"/>
    <w:rsid w:val="00684A8E"/>
    <w:rsid w:val="0068509B"/>
    <w:rsid w:val="006854DD"/>
    <w:rsid w:val="00685659"/>
    <w:rsid w:val="00685A07"/>
    <w:rsid w:val="00685E6C"/>
    <w:rsid w:val="00685F9F"/>
    <w:rsid w:val="00685FBF"/>
    <w:rsid w:val="00686168"/>
    <w:rsid w:val="00686250"/>
    <w:rsid w:val="00687169"/>
    <w:rsid w:val="00687353"/>
    <w:rsid w:val="006878AD"/>
    <w:rsid w:val="00687CF5"/>
    <w:rsid w:val="00690E05"/>
    <w:rsid w:val="00690FB6"/>
    <w:rsid w:val="006917EE"/>
    <w:rsid w:val="00691ABA"/>
    <w:rsid w:val="00691B8B"/>
    <w:rsid w:val="006920F6"/>
    <w:rsid w:val="0069227E"/>
    <w:rsid w:val="006928ED"/>
    <w:rsid w:val="00692958"/>
    <w:rsid w:val="00692ADA"/>
    <w:rsid w:val="00693A1E"/>
    <w:rsid w:val="00693BEC"/>
    <w:rsid w:val="00693F02"/>
    <w:rsid w:val="0069407E"/>
    <w:rsid w:val="00694443"/>
    <w:rsid w:val="00694546"/>
    <w:rsid w:val="006945D6"/>
    <w:rsid w:val="006945DC"/>
    <w:rsid w:val="00694AA1"/>
    <w:rsid w:val="00694BD4"/>
    <w:rsid w:val="00694CD6"/>
    <w:rsid w:val="00695726"/>
    <w:rsid w:val="00695795"/>
    <w:rsid w:val="00695801"/>
    <w:rsid w:val="006958BE"/>
    <w:rsid w:val="00695D73"/>
    <w:rsid w:val="0069602F"/>
    <w:rsid w:val="006960FE"/>
    <w:rsid w:val="00696201"/>
    <w:rsid w:val="00696ABC"/>
    <w:rsid w:val="00696BDC"/>
    <w:rsid w:val="00696D08"/>
    <w:rsid w:val="00697739"/>
    <w:rsid w:val="00697AEF"/>
    <w:rsid w:val="006A06B7"/>
    <w:rsid w:val="006A06DB"/>
    <w:rsid w:val="006A0728"/>
    <w:rsid w:val="006A0826"/>
    <w:rsid w:val="006A0D2E"/>
    <w:rsid w:val="006A0D73"/>
    <w:rsid w:val="006A0DB6"/>
    <w:rsid w:val="006A108A"/>
    <w:rsid w:val="006A1BDA"/>
    <w:rsid w:val="006A1D75"/>
    <w:rsid w:val="006A1DF6"/>
    <w:rsid w:val="006A27F2"/>
    <w:rsid w:val="006A2F72"/>
    <w:rsid w:val="006A3063"/>
    <w:rsid w:val="006A3287"/>
    <w:rsid w:val="006A34E0"/>
    <w:rsid w:val="006A37B2"/>
    <w:rsid w:val="006A3D86"/>
    <w:rsid w:val="006A3E3C"/>
    <w:rsid w:val="006A3F2F"/>
    <w:rsid w:val="006A41A5"/>
    <w:rsid w:val="006A485A"/>
    <w:rsid w:val="006A4B93"/>
    <w:rsid w:val="006A574D"/>
    <w:rsid w:val="006A5819"/>
    <w:rsid w:val="006A591C"/>
    <w:rsid w:val="006A5A43"/>
    <w:rsid w:val="006A5B32"/>
    <w:rsid w:val="006A6671"/>
    <w:rsid w:val="006A6B5D"/>
    <w:rsid w:val="006A75CD"/>
    <w:rsid w:val="006A7877"/>
    <w:rsid w:val="006A795F"/>
    <w:rsid w:val="006A7E4D"/>
    <w:rsid w:val="006B0646"/>
    <w:rsid w:val="006B0948"/>
    <w:rsid w:val="006B1102"/>
    <w:rsid w:val="006B1471"/>
    <w:rsid w:val="006B1772"/>
    <w:rsid w:val="006B1B60"/>
    <w:rsid w:val="006B1F1D"/>
    <w:rsid w:val="006B2DFB"/>
    <w:rsid w:val="006B3365"/>
    <w:rsid w:val="006B34F4"/>
    <w:rsid w:val="006B35C7"/>
    <w:rsid w:val="006B365E"/>
    <w:rsid w:val="006B3A79"/>
    <w:rsid w:val="006B3C37"/>
    <w:rsid w:val="006B4EAA"/>
    <w:rsid w:val="006B4F1F"/>
    <w:rsid w:val="006B4F5A"/>
    <w:rsid w:val="006B5410"/>
    <w:rsid w:val="006B5C06"/>
    <w:rsid w:val="006B5FA9"/>
    <w:rsid w:val="006B62EF"/>
    <w:rsid w:val="006B638F"/>
    <w:rsid w:val="006B6EE3"/>
    <w:rsid w:val="006B7550"/>
    <w:rsid w:val="006B7A2F"/>
    <w:rsid w:val="006B7B8A"/>
    <w:rsid w:val="006B7F87"/>
    <w:rsid w:val="006C00B1"/>
    <w:rsid w:val="006C04BC"/>
    <w:rsid w:val="006C0C6A"/>
    <w:rsid w:val="006C0CD5"/>
    <w:rsid w:val="006C0E8A"/>
    <w:rsid w:val="006C1098"/>
    <w:rsid w:val="006C15EB"/>
    <w:rsid w:val="006C20D3"/>
    <w:rsid w:val="006C244B"/>
    <w:rsid w:val="006C2602"/>
    <w:rsid w:val="006C27F3"/>
    <w:rsid w:val="006C2CD8"/>
    <w:rsid w:val="006C31C0"/>
    <w:rsid w:val="006C35CA"/>
    <w:rsid w:val="006C3701"/>
    <w:rsid w:val="006C3939"/>
    <w:rsid w:val="006C3BD9"/>
    <w:rsid w:val="006C3C6E"/>
    <w:rsid w:val="006C4275"/>
    <w:rsid w:val="006C4A50"/>
    <w:rsid w:val="006C4DC0"/>
    <w:rsid w:val="006C52EF"/>
    <w:rsid w:val="006C5457"/>
    <w:rsid w:val="006C6267"/>
    <w:rsid w:val="006C6B55"/>
    <w:rsid w:val="006C6CC7"/>
    <w:rsid w:val="006C70A4"/>
    <w:rsid w:val="006C70EE"/>
    <w:rsid w:val="006C7141"/>
    <w:rsid w:val="006C71E0"/>
    <w:rsid w:val="006C7CCF"/>
    <w:rsid w:val="006D0F80"/>
    <w:rsid w:val="006D1681"/>
    <w:rsid w:val="006D1BD0"/>
    <w:rsid w:val="006D1CEB"/>
    <w:rsid w:val="006D1E52"/>
    <w:rsid w:val="006D243C"/>
    <w:rsid w:val="006D2541"/>
    <w:rsid w:val="006D3341"/>
    <w:rsid w:val="006D43BF"/>
    <w:rsid w:val="006D4B1D"/>
    <w:rsid w:val="006D550D"/>
    <w:rsid w:val="006D6167"/>
    <w:rsid w:val="006D6654"/>
    <w:rsid w:val="006D6A1B"/>
    <w:rsid w:val="006D72F4"/>
    <w:rsid w:val="006D7668"/>
    <w:rsid w:val="006D781C"/>
    <w:rsid w:val="006D7AF5"/>
    <w:rsid w:val="006D7DC5"/>
    <w:rsid w:val="006D7F8C"/>
    <w:rsid w:val="006E07A7"/>
    <w:rsid w:val="006E0E9D"/>
    <w:rsid w:val="006E1A3D"/>
    <w:rsid w:val="006E1C86"/>
    <w:rsid w:val="006E1D25"/>
    <w:rsid w:val="006E291D"/>
    <w:rsid w:val="006E2BA4"/>
    <w:rsid w:val="006E4126"/>
    <w:rsid w:val="006E4494"/>
    <w:rsid w:val="006E46DF"/>
    <w:rsid w:val="006E5789"/>
    <w:rsid w:val="006E63DE"/>
    <w:rsid w:val="006E6548"/>
    <w:rsid w:val="006E6639"/>
    <w:rsid w:val="006E6A21"/>
    <w:rsid w:val="006E6BEB"/>
    <w:rsid w:val="006E6E71"/>
    <w:rsid w:val="006E6FB4"/>
    <w:rsid w:val="006E709D"/>
    <w:rsid w:val="006E70D0"/>
    <w:rsid w:val="006E7177"/>
    <w:rsid w:val="006E729C"/>
    <w:rsid w:val="006E7368"/>
    <w:rsid w:val="006E75E9"/>
    <w:rsid w:val="006E7E18"/>
    <w:rsid w:val="006F0522"/>
    <w:rsid w:val="006F0739"/>
    <w:rsid w:val="006F0884"/>
    <w:rsid w:val="006F0E96"/>
    <w:rsid w:val="006F0EA6"/>
    <w:rsid w:val="006F155D"/>
    <w:rsid w:val="006F157B"/>
    <w:rsid w:val="006F21A3"/>
    <w:rsid w:val="006F2B2D"/>
    <w:rsid w:val="006F2C01"/>
    <w:rsid w:val="006F35AE"/>
    <w:rsid w:val="006F36D2"/>
    <w:rsid w:val="006F4108"/>
    <w:rsid w:val="006F48E7"/>
    <w:rsid w:val="006F5611"/>
    <w:rsid w:val="006F58B0"/>
    <w:rsid w:val="006F5D31"/>
    <w:rsid w:val="006F5D54"/>
    <w:rsid w:val="006F7583"/>
    <w:rsid w:val="006F7C65"/>
    <w:rsid w:val="006F7D5F"/>
    <w:rsid w:val="00700498"/>
    <w:rsid w:val="00700666"/>
    <w:rsid w:val="0070088E"/>
    <w:rsid w:val="00701233"/>
    <w:rsid w:val="00701511"/>
    <w:rsid w:val="0070191B"/>
    <w:rsid w:val="00702DAB"/>
    <w:rsid w:val="007030D5"/>
    <w:rsid w:val="007032A9"/>
    <w:rsid w:val="007033A6"/>
    <w:rsid w:val="007033B1"/>
    <w:rsid w:val="00703ED9"/>
    <w:rsid w:val="00703F45"/>
    <w:rsid w:val="00704AA9"/>
    <w:rsid w:val="00704D79"/>
    <w:rsid w:val="00705143"/>
    <w:rsid w:val="007052BD"/>
    <w:rsid w:val="00705D72"/>
    <w:rsid w:val="00706491"/>
    <w:rsid w:val="007067A0"/>
    <w:rsid w:val="0070688A"/>
    <w:rsid w:val="00706A69"/>
    <w:rsid w:val="00706C0F"/>
    <w:rsid w:val="00706EEB"/>
    <w:rsid w:val="00706F7D"/>
    <w:rsid w:val="00707134"/>
    <w:rsid w:val="0070714E"/>
    <w:rsid w:val="00707258"/>
    <w:rsid w:val="00707273"/>
    <w:rsid w:val="00707DC3"/>
    <w:rsid w:val="00710322"/>
    <w:rsid w:val="007105A7"/>
    <w:rsid w:val="007107B4"/>
    <w:rsid w:val="00710DE4"/>
    <w:rsid w:val="00710F68"/>
    <w:rsid w:val="00710FF4"/>
    <w:rsid w:val="007116CE"/>
    <w:rsid w:val="00712223"/>
    <w:rsid w:val="007125BC"/>
    <w:rsid w:val="007126DB"/>
    <w:rsid w:val="007130FC"/>
    <w:rsid w:val="0071322B"/>
    <w:rsid w:val="00713976"/>
    <w:rsid w:val="00713C5C"/>
    <w:rsid w:val="00713D48"/>
    <w:rsid w:val="0071400F"/>
    <w:rsid w:val="0071431C"/>
    <w:rsid w:val="0071438F"/>
    <w:rsid w:val="007148A5"/>
    <w:rsid w:val="00714FBD"/>
    <w:rsid w:val="00715E55"/>
    <w:rsid w:val="007169C6"/>
    <w:rsid w:val="007169F7"/>
    <w:rsid w:val="00717370"/>
    <w:rsid w:val="0072072F"/>
    <w:rsid w:val="00720892"/>
    <w:rsid w:val="00720F3C"/>
    <w:rsid w:val="00721152"/>
    <w:rsid w:val="0072135F"/>
    <w:rsid w:val="0072137E"/>
    <w:rsid w:val="0072150B"/>
    <w:rsid w:val="007218B3"/>
    <w:rsid w:val="00721D38"/>
    <w:rsid w:val="00721DA5"/>
    <w:rsid w:val="00722607"/>
    <w:rsid w:val="00722B23"/>
    <w:rsid w:val="00722FD8"/>
    <w:rsid w:val="00723084"/>
    <w:rsid w:val="007235F8"/>
    <w:rsid w:val="00723849"/>
    <w:rsid w:val="00723B16"/>
    <w:rsid w:val="00723B26"/>
    <w:rsid w:val="00723F8C"/>
    <w:rsid w:val="007246E5"/>
    <w:rsid w:val="0072535C"/>
    <w:rsid w:val="00725A27"/>
    <w:rsid w:val="00725BB4"/>
    <w:rsid w:val="00725FC6"/>
    <w:rsid w:val="00726402"/>
    <w:rsid w:val="0072670B"/>
    <w:rsid w:val="0072672E"/>
    <w:rsid w:val="00726953"/>
    <w:rsid w:val="00726F97"/>
    <w:rsid w:val="007274BC"/>
    <w:rsid w:val="00727743"/>
    <w:rsid w:val="00727B84"/>
    <w:rsid w:val="00727F09"/>
    <w:rsid w:val="00730107"/>
    <w:rsid w:val="007303E8"/>
    <w:rsid w:val="0073068D"/>
    <w:rsid w:val="00730FCC"/>
    <w:rsid w:val="00731041"/>
    <w:rsid w:val="00731978"/>
    <w:rsid w:val="00732819"/>
    <w:rsid w:val="00732A9D"/>
    <w:rsid w:val="00733076"/>
    <w:rsid w:val="007331FA"/>
    <w:rsid w:val="00733F72"/>
    <w:rsid w:val="0073435D"/>
    <w:rsid w:val="007347B9"/>
    <w:rsid w:val="0073491C"/>
    <w:rsid w:val="00734EFF"/>
    <w:rsid w:val="007354FD"/>
    <w:rsid w:val="00735DA0"/>
    <w:rsid w:val="00735E64"/>
    <w:rsid w:val="007365EB"/>
    <w:rsid w:val="00736792"/>
    <w:rsid w:val="00736829"/>
    <w:rsid w:val="00736EFE"/>
    <w:rsid w:val="00737199"/>
    <w:rsid w:val="00737567"/>
    <w:rsid w:val="00737FD8"/>
    <w:rsid w:val="0074008A"/>
    <w:rsid w:val="0074008B"/>
    <w:rsid w:val="00740C8D"/>
    <w:rsid w:val="00740F8A"/>
    <w:rsid w:val="00741066"/>
    <w:rsid w:val="0074160C"/>
    <w:rsid w:val="007422FE"/>
    <w:rsid w:val="00742383"/>
    <w:rsid w:val="00742E7E"/>
    <w:rsid w:val="007439BC"/>
    <w:rsid w:val="00743A8D"/>
    <w:rsid w:val="0074409F"/>
    <w:rsid w:val="00744716"/>
    <w:rsid w:val="00744953"/>
    <w:rsid w:val="00744C63"/>
    <w:rsid w:val="00744DC7"/>
    <w:rsid w:val="007453A8"/>
    <w:rsid w:val="007455E6"/>
    <w:rsid w:val="00745949"/>
    <w:rsid w:val="00745FF6"/>
    <w:rsid w:val="00746A50"/>
    <w:rsid w:val="0074714B"/>
    <w:rsid w:val="00747272"/>
    <w:rsid w:val="00747C88"/>
    <w:rsid w:val="00747EA9"/>
    <w:rsid w:val="0075000E"/>
    <w:rsid w:val="007500E9"/>
    <w:rsid w:val="00751593"/>
    <w:rsid w:val="00751B36"/>
    <w:rsid w:val="00751D66"/>
    <w:rsid w:val="00751E18"/>
    <w:rsid w:val="00752A28"/>
    <w:rsid w:val="00752C47"/>
    <w:rsid w:val="00753749"/>
    <w:rsid w:val="007538D0"/>
    <w:rsid w:val="00753BA8"/>
    <w:rsid w:val="00753BBF"/>
    <w:rsid w:val="00753F38"/>
    <w:rsid w:val="00754054"/>
    <w:rsid w:val="007545D9"/>
    <w:rsid w:val="0075486D"/>
    <w:rsid w:val="0075488F"/>
    <w:rsid w:val="00754D2B"/>
    <w:rsid w:val="00754D95"/>
    <w:rsid w:val="00754E7E"/>
    <w:rsid w:val="00755326"/>
    <w:rsid w:val="007553A9"/>
    <w:rsid w:val="0075557B"/>
    <w:rsid w:val="007557CE"/>
    <w:rsid w:val="00755908"/>
    <w:rsid w:val="007559CC"/>
    <w:rsid w:val="00755ACF"/>
    <w:rsid w:val="00755FFE"/>
    <w:rsid w:val="00756392"/>
    <w:rsid w:val="007569F6"/>
    <w:rsid w:val="00756EDB"/>
    <w:rsid w:val="00757451"/>
    <w:rsid w:val="00757817"/>
    <w:rsid w:val="00757883"/>
    <w:rsid w:val="00757B73"/>
    <w:rsid w:val="007604C8"/>
    <w:rsid w:val="007604F0"/>
    <w:rsid w:val="0076121A"/>
    <w:rsid w:val="0076148F"/>
    <w:rsid w:val="00761B5E"/>
    <w:rsid w:val="00762353"/>
    <w:rsid w:val="00762AED"/>
    <w:rsid w:val="007632F9"/>
    <w:rsid w:val="00763765"/>
    <w:rsid w:val="007638FB"/>
    <w:rsid w:val="0076395C"/>
    <w:rsid w:val="00763DA7"/>
    <w:rsid w:val="00764028"/>
    <w:rsid w:val="00764587"/>
    <w:rsid w:val="00764A0A"/>
    <w:rsid w:val="00764B75"/>
    <w:rsid w:val="00764ED2"/>
    <w:rsid w:val="0076531A"/>
    <w:rsid w:val="00765D64"/>
    <w:rsid w:val="0076620F"/>
    <w:rsid w:val="00766D5E"/>
    <w:rsid w:val="00766DE2"/>
    <w:rsid w:val="00766DF4"/>
    <w:rsid w:val="00766EC1"/>
    <w:rsid w:val="0076778B"/>
    <w:rsid w:val="00767C9D"/>
    <w:rsid w:val="00767F6A"/>
    <w:rsid w:val="00767F81"/>
    <w:rsid w:val="0077005A"/>
    <w:rsid w:val="007705A6"/>
    <w:rsid w:val="0077107D"/>
    <w:rsid w:val="0077193C"/>
    <w:rsid w:val="00771DB0"/>
    <w:rsid w:val="0077226B"/>
    <w:rsid w:val="007729D3"/>
    <w:rsid w:val="00772A5A"/>
    <w:rsid w:val="007733EC"/>
    <w:rsid w:val="00774FB3"/>
    <w:rsid w:val="0077535B"/>
    <w:rsid w:val="00775717"/>
    <w:rsid w:val="007764B7"/>
    <w:rsid w:val="007766E1"/>
    <w:rsid w:val="007768F5"/>
    <w:rsid w:val="0077698F"/>
    <w:rsid w:val="00776A8A"/>
    <w:rsid w:val="00776E3A"/>
    <w:rsid w:val="0077707C"/>
    <w:rsid w:val="00777B50"/>
    <w:rsid w:val="0078003E"/>
    <w:rsid w:val="0078089D"/>
    <w:rsid w:val="00780B67"/>
    <w:rsid w:val="007812E2"/>
    <w:rsid w:val="007813FB"/>
    <w:rsid w:val="00781BA4"/>
    <w:rsid w:val="00781D70"/>
    <w:rsid w:val="00781DEF"/>
    <w:rsid w:val="00781E82"/>
    <w:rsid w:val="0078206E"/>
    <w:rsid w:val="007823C7"/>
    <w:rsid w:val="00782C9C"/>
    <w:rsid w:val="007831AB"/>
    <w:rsid w:val="0078324D"/>
    <w:rsid w:val="00783424"/>
    <w:rsid w:val="007834AF"/>
    <w:rsid w:val="007834DB"/>
    <w:rsid w:val="0078386F"/>
    <w:rsid w:val="0078404E"/>
    <w:rsid w:val="0078425C"/>
    <w:rsid w:val="007843BC"/>
    <w:rsid w:val="0078449F"/>
    <w:rsid w:val="007846F5"/>
    <w:rsid w:val="00784A5E"/>
    <w:rsid w:val="00784D87"/>
    <w:rsid w:val="0078500D"/>
    <w:rsid w:val="007855B8"/>
    <w:rsid w:val="00785654"/>
    <w:rsid w:val="007857AD"/>
    <w:rsid w:val="00785DFD"/>
    <w:rsid w:val="007869A9"/>
    <w:rsid w:val="00786CAA"/>
    <w:rsid w:val="00787014"/>
    <w:rsid w:val="0078710C"/>
    <w:rsid w:val="007871EF"/>
    <w:rsid w:val="0078735A"/>
    <w:rsid w:val="00787579"/>
    <w:rsid w:val="0078792B"/>
    <w:rsid w:val="00787957"/>
    <w:rsid w:val="00787981"/>
    <w:rsid w:val="00787DDC"/>
    <w:rsid w:val="00787E7F"/>
    <w:rsid w:val="00787F56"/>
    <w:rsid w:val="0079073F"/>
    <w:rsid w:val="0079095C"/>
    <w:rsid w:val="007909C5"/>
    <w:rsid w:val="00791579"/>
    <w:rsid w:val="007919BD"/>
    <w:rsid w:val="00791BC6"/>
    <w:rsid w:val="00791E1A"/>
    <w:rsid w:val="00791E1D"/>
    <w:rsid w:val="00791ED8"/>
    <w:rsid w:val="00791F4E"/>
    <w:rsid w:val="007922D7"/>
    <w:rsid w:val="00792508"/>
    <w:rsid w:val="007926F9"/>
    <w:rsid w:val="00792A35"/>
    <w:rsid w:val="0079345C"/>
    <w:rsid w:val="00793944"/>
    <w:rsid w:val="00793F93"/>
    <w:rsid w:val="00794389"/>
    <w:rsid w:val="00794F90"/>
    <w:rsid w:val="00794F98"/>
    <w:rsid w:val="007950E3"/>
    <w:rsid w:val="00795110"/>
    <w:rsid w:val="00795168"/>
    <w:rsid w:val="007952F2"/>
    <w:rsid w:val="00795C4D"/>
    <w:rsid w:val="00795D55"/>
    <w:rsid w:val="00796157"/>
    <w:rsid w:val="00796342"/>
    <w:rsid w:val="007964B1"/>
    <w:rsid w:val="00796B44"/>
    <w:rsid w:val="007A0040"/>
    <w:rsid w:val="007A00A6"/>
    <w:rsid w:val="007A0B76"/>
    <w:rsid w:val="007A0F2B"/>
    <w:rsid w:val="007A15B3"/>
    <w:rsid w:val="007A1918"/>
    <w:rsid w:val="007A1EB1"/>
    <w:rsid w:val="007A247D"/>
    <w:rsid w:val="007A250C"/>
    <w:rsid w:val="007A2FE5"/>
    <w:rsid w:val="007A315C"/>
    <w:rsid w:val="007A35BF"/>
    <w:rsid w:val="007A3B71"/>
    <w:rsid w:val="007A45C0"/>
    <w:rsid w:val="007A4C5A"/>
    <w:rsid w:val="007A4EE9"/>
    <w:rsid w:val="007A4FA4"/>
    <w:rsid w:val="007A530D"/>
    <w:rsid w:val="007A536B"/>
    <w:rsid w:val="007A590F"/>
    <w:rsid w:val="007A5FE2"/>
    <w:rsid w:val="007A622B"/>
    <w:rsid w:val="007A6312"/>
    <w:rsid w:val="007A63F6"/>
    <w:rsid w:val="007A6506"/>
    <w:rsid w:val="007A652F"/>
    <w:rsid w:val="007A6D8B"/>
    <w:rsid w:val="007A716B"/>
    <w:rsid w:val="007A76DF"/>
    <w:rsid w:val="007A76FE"/>
    <w:rsid w:val="007A7DB4"/>
    <w:rsid w:val="007A7F6B"/>
    <w:rsid w:val="007B01BF"/>
    <w:rsid w:val="007B0330"/>
    <w:rsid w:val="007B046A"/>
    <w:rsid w:val="007B061B"/>
    <w:rsid w:val="007B0A9F"/>
    <w:rsid w:val="007B0CAE"/>
    <w:rsid w:val="007B0EC4"/>
    <w:rsid w:val="007B1858"/>
    <w:rsid w:val="007B18F8"/>
    <w:rsid w:val="007B1AD4"/>
    <w:rsid w:val="007B1DBB"/>
    <w:rsid w:val="007B1DCE"/>
    <w:rsid w:val="007B24CE"/>
    <w:rsid w:val="007B279A"/>
    <w:rsid w:val="007B30D4"/>
    <w:rsid w:val="007B3825"/>
    <w:rsid w:val="007B3C6C"/>
    <w:rsid w:val="007B47CB"/>
    <w:rsid w:val="007B47EA"/>
    <w:rsid w:val="007B4D1B"/>
    <w:rsid w:val="007B4DC9"/>
    <w:rsid w:val="007B539D"/>
    <w:rsid w:val="007B53F6"/>
    <w:rsid w:val="007B55FC"/>
    <w:rsid w:val="007B5810"/>
    <w:rsid w:val="007B585E"/>
    <w:rsid w:val="007B59F0"/>
    <w:rsid w:val="007B59F4"/>
    <w:rsid w:val="007B5A34"/>
    <w:rsid w:val="007B5B09"/>
    <w:rsid w:val="007B6AF9"/>
    <w:rsid w:val="007B6FD7"/>
    <w:rsid w:val="007C02E6"/>
    <w:rsid w:val="007C0334"/>
    <w:rsid w:val="007C07B8"/>
    <w:rsid w:val="007C0851"/>
    <w:rsid w:val="007C12D2"/>
    <w:rsid w:val="007C133F"/>
    <w:rsid w:val="007C1C82"/>
    <w:rsid w:val="007C1F9B"/>
    <w:rsid w:val="007C216F"/>
    <w:rsid w:val="007C2E5C"/>
    <w:rsid w:val="007C31D0"/>
    <w:rsid w:val="007C323E"/>
    <w:rsid w:val="007C3667"/>
    <w:rsid w:val="007C3950"/>
    <w:rsid w:val="007C406C"/>
    <w:rsid w:val="007C4079"/>
    <w:rsid w:val="007C42CB"/>
    <w:rsid w:val="007C450F"/>
    <w:rsid w:val="007C469C"/>
    <w:rsid w:val="007C4758"/>
    <w:rsid w:val="007C4A5C"/>
    <w:rsid w:val="007C4C59"/>
    <w:rsid w:val="007C4FC3"/>
    <w:rsid w:val="007C542A"/>
    <w:rsid w:val="007C54BF"/>
    <w:rsid w:val="007C58B6"/>
    <w:rsid w:val="007C5DE0"/>
    <w:rsid w:val="007C6AC0"/>
    <w:rsid w:val="007C752B"/>
    <w:rsid w:val="007C7AFD"/>
    <w:rsid w:val="007D026B"/>
    <w:rsid w:val="007D05B9"/>
    <w:rsid w:val="007D0D52"/>
    <w:rsid w:val="007D12CD"/>
    <w:rsid w:val="007D13DC"/>
    <w:rsid w:val="007D13EB"/>
    <w:rsid w:val="007D2099"/>
    <w:rsid w:val="007D2177"/>
    <w:rsid w:val="007D230D"/>
    <w:rsid w:val="007D2935"/>
    <w:rsid w:val="007D2B5D"/>
    <w:rsid w:val="007D2F16"/>
    <w:rsid w:val="007D37FF"/>
    <w:rsid w:val="007D42C2"/>
    <w:rsid w:val="007D5A12"/>
    <w:rsid w:val="007D600F"/>
    <w:rsid w:val="007D6550"/>
    <w:rsid w:val="007D6946"/>
    <w:rsid w:val="007D6BC7"/>
    <w:rsid w:val="007D70A1"/>
    <w:rsid w:val="007D76C7"/>
    <w:rsid w:val="007D7AD5"/>
    <w:rsid w:val="007D7CEF"/>
    <w:rsid w:val="007E0504"/>
    <w:rsid w:val="007E0D7A"/>
    <w:rsid w:val="007E1076"/>
    <w:rsid w:val="007E1452"/>
    <w:rsid w:val="007E1AB6"/>
    <w:rsid w:val="007E202A"/>
    <w:rsid w:val="007E20FE"/>
    <w:rsid w:val="007E2FE1"/>
    <w:rsid w:val="007E36D1"/>
    <w:rsid w:val="007E4057"/>
    <w:rsid w:val="007E42B9"/>
    <w:rsid w:val="007E49E4"/>
    <w:rsid w:val="007E4AA1"/>
    <w:rsid w:val="007E516A"/>
    <w:rsid w:val="007E566A"/>
    <w:rsid w:val="007E570A"/>
    <w:rsid w:val="007E679E"/>
    <w:rsid w:val="007E695E"/>
    <w:rsid w:val="007E6AC5"/>
    <w:rsid w:val="007E745F"/>
    <w:rsid w:val="007E78C0"/>
    <w:rsid w:val="007E7B63"/>
    <w:rsid w:val="007F0053"/>
    <w:rsid w:val="007F00B3"/>
    <w:rsid w:val="007F087D"/>
    <w:rsid w:val="007F0A77"/>
    <w:rsid w:val="007F0C6C"/>
    <w:rsid w:val="007F0CA0"/>
    <w:rsid w:val="007F0DD0"/>
    <w:rsid w:val="007F1783"/>
    <w:rsid w:val="007F1D70"/>
    <w:rsid w:val="007F1FD5"/>
    <w:rsid w:val="007F28A0"/>
    <w:rsid w:val="007F2BF1"/>
    <w:rsid w:val="007F32F0"/>
    <w:rsid w:val="007F36A2"/>
    <w:rsid w:val="007F36EA"/>
    <w:rsid w:val="007F37C6"/>
    <w:rsid w:val="007F3B17"/>
    <w:rsid w:val="007F5171"/>
    <w:rsid w:val="007F5192"/>
    <w:rsid w:val="007F5309"/>
    <w:rsid w:val="007F5DEE"/>
    <w:rsid w:val="007F5F4D"/>
    <w:rsid w:val="007F6027"/>
    <w:rsid w:val="007F602B"/>
    <w:rsid w:val="007F6223"/>
    <w:rsid w:val="007F64A1"/>
    <w:rsid w:val="007F6520"/>
    <w:rsid w:val="007F652D"/>
    <w:rsid w:val="007F6675"/>
    <w:rsid w:val="007F6EE5"/>
    <w:rsid w:val="007F7115"/>
    <w:rsid w:val="007F7C86"/>
    <w:rsid w:val="007F7FB6"/>
    <w:rsid w:val="008001B8"/>
    <w:rsid w:val="00800F42"/>
    <w:rsid w:val="00801863"/>
    <w:rsid w:val="00801F8E"/>
    <w:rsid w:val="00801F9C"/>
    <w:rsid w:val="00801FF1"/>
    <w:rsid w:val="0080225F"/>
    <w:rsid w:val="00802715"/>
    <w:rsid w:val="008029B4"/>
    <w:rsid w:val="00802D7C"/>
    <w:rsid w:val="00802F31"/>
    <w:rsid w:val="008030BA"/>
    <w:rsid w:val="008035E6"/>
    <w:rsid w:val="00803F17"/>
    <w:rsid w:val="008041C4"/>
    <w:rsid w:val="0080451B"/>
    <w:rsid w:val="00805233"/>
    <w:rsid w:val="00805420"/>
    <w:rsid w:val="008054D4"/>
    <w:rsid w:val="008057D1"/>
    <w:rsid w:val="008057FE"/>
    <w:rsid w:val="008058C6"/>
    <w:rsid w:val="00805C93"/>
    <w:rsid w:val="00805E33"/>
    <w:rsid w:val="0080644D"/>
    <w:rsid w:val="00806E2D"/>
    <w:rsid w:val="0080734E"/>
    <w:rsid w:val="008077FB"/>
    <w:rsid w:val="0080796A"/>
    <w:rsid w:val="00807B55"/>
    <w:rsid w:val="00807F73"/>
    <w:rsid w:val="008109FA"/>
    <w:rsid w:val="00810B4F"/>
    <w:rsid w:val="00810BA3"/>
    <w:rsid w:val="00810F51"/>
    <w:rsid w:val="00811DAA"/>
    <w:rsid w:val="00811EDE"/>
    <w:rsid w:val="00811FCD"/>
    <w:rsid w:val="0081227B"/>
    <w:rsid w:val="008127DF"/>
    <w:rsid w:val="00813020"/>
    <w:rsid w:val="008142CD"/>
    <w:rsid w:val="00814856"/>
    <w:rsid w:val="00814898"/>
    <w:rsid w:val="00814CC9"/>
    <w:rsid w:val="00814D69"/>
    <w:rsid w:val="00814D86"/>
    <w:rsid w:val="0081522D"/>
    <w:rsid w:val="00815352"/>
    <w:rsid w:val="00816042"/>
    <w:rsid w:val="0081648E"/>
    <w:rsid w:val="008179D2"/>
    <w:rsid w:val="00817A62"/>
    <w:rsid w:val="008204E9"/>
    <w:rsid w:val="00820AFB"/>
    <w:rsid w:val="00820E34"/>
    <w:rsid w:val="00820EBC"/>
    <w:rsid w:val="0082126C"/>
    <w:rsid w:val="0082135C"/>
    <w:rsid w:val="00821740"/>
    <w:rsid w:val="00821B45"/>
    <w:rsid w:val="00821B85"/>
    <w:rsid w:val="008227D9"/>
    <w:rsid w:val="00822AAF"/>
    <w:rsid w:val="00822F52"/>
    <w:rsid w:val="0082317E"/>
    <w:rsid w:val="0082323B"/>
    <w:rsid w:val="008234D7"/>
    <w:rsid w:val="008235E3"/>
    <w:rsid w:val="00823C20"/>
    <w:rsid w:val="00823D26"/>
    <w:rsid w:val="00824315"/>
    <w:rsid w:val="008247C0"/>
    <w:rsid w:val="00824B06"/>
    <w:rsid w:val="00824E51"/>
    <w:rsid w:val="00824F37"/>
    <w:rsid w:val="008253A9"/>
    <w:rsid w:val="008256C8"/>
    <w:rsid w:val="008258FF"/>
    <w:rsid w:val="00826634"/>
    <w:rsid w:val="008267A2"/>
    <w:rsid w:val="00826C89"/>
    <w:rsid w:val="0082704C"/>
    <w:rsid w:val="008273AA"/>
    <w:rsid w:val="00827501"/>
    <w:rsid w:val="008277E0"/>
    <w:rsid w:val="00827EB0"/>
    <w:rsid w:val="008301C6"/>
    <w:rsid w:val="008301DC"/>
    <w:rsid w:val="0083023A"/>
    <w:rsid w:val="008304DA"/>
    <w:rsid w:val="008305AC"/>
    <w:rsid w:val="00830832"/>
    <w:rsid w:val="008309AC"/>
    <w:rsid w:val="00830B81"/>
    <w:rsid w:val="00830D03"/>
    <w:rsid w:val="008317D5"/>
    <w:rsid w:val="008319AF"/>
    <w:rsid w:val="00831F25"/>
    <w:rsid w:val="008323FC"/>
    <w:rsid w:val="008325DC"/>
    <w:rsid w:val="0083280D"/>
    <w:rsid w:val="00832B8F"/>
    <w:rsid w:val="00832F4B"/>
    <w:rsid w:val="0083460C"/>
    <w:rsid w:val="00834E9C"/>
    <w:rsid w:val="0083522A"/>
    <w:rsid w:val="008359D9"/>
    <w:rsid w:val="00835CA4"/>
    <w:rsid w:val="00835F74"/>
    <w:rsid w:val="00835FA9"/>
    <w:rsid w:val="00835FFC"/>
    <w:rsid w:val="008360C6"/>
    <w:rsid w:val="008368DE"/>
    <w:rsid w:val="0083699A"/>
    <w:rsid w:val="00836DCF"/>
    <w:rsid w:val="00836ECA"/>
    <w:rsid w:val="0083703C"/>
    <w:rsid w:val="00837046"/>
    <w:rsid w:val="0083734A"/>
    <w:rsid w:val="008375B2"/>
    <w:rsid w:val="008377A8"/>
    <w:rsid w:val="00837B9B"/>
    <w:rsid w:val="00837E5F"/>
    <w:rsid w:val="00837EAE"/>
    <w:rsid w:val="00840406"/>
    <w:rsid w:val="00840A43"/>
    <w:rsid w:val="008413F5"/>
    <w:rsid w:val="00841446"/>
    <w:rsid w:val="008414CB"/>
    <w:rsid w:val="008415A0"/>
    <w:rsid w:val="008429F6"/>
    <w:rsid w:val="00842E8B"/>
    <w:rsid w:val="008432D6"/>
    <w:rsid w:val="00843857"/>
    <w:rsid w:val="00843910"/>
    <w:rsid w:val="00843920"/>
    <w:rsid w:val="00843A48"/>
    <w:rsid w:val="00844A04"/>
    <w:rsid w:val="00845481"/>
    <w:rsid w:val="0084562B"/>
    <w:rsid w:val="00845676"/>
    <w:rsid w:val="00845856"/>
    <w:rsid w:val="0084585B"/>
    <w:rsid w:val="00845968"/>
    <w:rsid w:val="008469CF"/>
    <w:rsid w:val="00846C4F"/>
    <w:rsid w:val="0084746A"/>
    <w:rsid w:val="008477B2"/>
    <w:rsid w:val="00847945"/>
    <w:rsid w:val="00847C3C"/>
    <w:rsid w:val="00847F47"/>
    <w:rsid w:val="008507A6"/>
    <w:rsid w:val="00850B7A"/>
    <w:rsid w:val="00851EEB"/>
    <w:rsid w:val="00852144"/>
    <w:rsid w:val="00852660"/>
    <w:rsid w:val="008527EF"/>
    <w:rsid w:val="00852836"/>
    <w:rsid w:val="00852897"/>
    <w:rsid w:val="008530DE"/>
    <w:rsid w:val="008534EF"/>
    <w:rsid w:val="00853E22"/>
    <w:rsid w:val="00853EA6"/>
    <w:rsid w:val="00853EF4"/>
    <w:rsid w:val="00854253"/>
    <w:rsid w:val="00854608"/>
    <w:rsid w:val="00854771"/>
    <w:rsid w:val="008547A5"/>
    <w:rsid w:val="008548F9"/>
    <w:rsid w:val="00854E5D"/>
    <w:rsid w:val="0085544E"/>
    <w:rsid w:val="0085574B"/>
    <w:rsid w:val="00856094"/>
    <w:rsid w:val="00856466"/>
    <w:rsid w:val="008564D6"/>
    <w:rsid w:val="00856CD0"/>
    <w:rsid w:val="00856D30"/>
    <w:rsid w:val="00857401"/>
    <w:rsid w:val="0086018A"/>
    <w:rsid w:val="00860562"/>
    <w:rsid w:val="0086092B"/>
    <w:rsid w:val="00860EE4"/>
    <w:rsid w:val="00860F5C"/>
    <w:rsid w:val="008611A9"/>
    <w:rsid w:val="00861251"/>
    <w:rsid w:val="0086131F"/>
    <w:rsid w:val="008614D1"/>
    <w:rsid w:val="00861AD1"/>
    <w:rsid w:val="00861EDA"/>
    <w:rsid w:val="0086271F"/>
    <w:rsid w:val="0086310D"/>
    <w:rsid w:val="008632DE"/>
    <w:rsid w:val="008633E4"/>
    <w:rsid w:val="008634EE"/>
    <w:rsid w:val="00863630"/>
    <w:rsid w:val="00863D03"/>
    <w:rsid w:val="008643C6"/>
    <w:rsid w:val="00864E99"/>
    <w:rsid w:val="008657C7"/>
    <w:rsid w:val="008667C1"/>
    <w:rsid w:val="00866B76"/>
    <w:rsid w:val="00866D7A"/>
    <w:rsid w:val="00866EEA"/>
    <w:rsid w:val="008674C2"/>
    <w:rsid w:val="00867628"/>
    <w:rsid w:val="0086762F"/>
    <w:rsid w:val="008679BA"/>
    <w:rsid w:val="00867D93"/>
    <w:rsid w:val="00867DEC"/>
    <w:rsid w:val="00870222"/>
    <w:rsid w:val="00870460"/>
    <w:rsid w:val="008705C9"/>
    <w:rsid w:val="00870C84"/>
    <w:rsid w:val="00870EB6"/>
    <w:rsid w:val="00872284"/>
    <w:rsid w:val="0087263E"/>
    <w:rsid w:val="0087278D"/>
    <w:rsid w:val="00872B04"/>
    <w:rsid w:val="00872B50"/>
    <w:rsid w:val="0087338A"/>
    <w:rsid w:val="0087372F"/>
    <w:rsid w:val="00874129"/>
    <w:rsid w:val="008742FC"/>
    <w:rsid w:val="008744D3"/>
    <w:rsid w:val="008751D6"/>
    <w:rsid w:val="00875C09"/>
    <w:rsid w:val="00875C12"/>
    <w:rsid w:val="00875F81"/>
    <w:rsid w:val="00876330"/>
    <w:rsid w:val="00877070"/>
    <w:rsid w:val="008773CB"/>
    <w:rsid w:val="00877B92"/>
    <w:rsid w:val="00877C53"/>
    <w:rsid w:val="0088015D"/>
    <w:rsid w:val="008807C1"/>
    <w:rsid w:val="008808FD"/>
    <w:rsid w:val="0088098F"/>
    <w:rsid w:val="00880F66"/>
    <w:rsid w:val="00881472"/>
    <w:rsid w:val="0088163B"/>
    <w:rsid w:val="00881ED9"/>
    <w:rsid w:val="00881F31"/>
    <w:rsid w:val="00882312"/>
    <w:rsid w:val="00882BB1"/>
    <w:rsid w:val="008835ED"/>
    <w:rsid w:val="008835EE"/>
    <w:rsid w:val="008839CD"/>
    <w:rsid w:val="008840F9"/>
    <w:rsid w:val="008844AA"/>
    <w:rsid w:val="00884840"/>
    <w:rsid w:val="00884B8D"/>
    <w:rsid w:val="00884FCA"/>
    <w:rsid w:val="0088520E"/>
    <w:rsid w:val="0088545C"/>
    <w:rsid w:val="00885D45"/>
    <w:rsid w:val="00885DD3"/>
    <w:rsid w:val="00885FE4"/>
    <w:rsid w:val="00886595"/>
    <w:rsid w:val="0088668F"/>
    <w:rsid w:val="008867CC"/>
    <w:rsid w:val="008871C3"/>
    <w:rsid w:val="00887981"/>
    <w:rsid w:val="008900E3"/>
    <w:rsid w:val="00890ECE"/>
    <w:rsid w:val="00891084"/>
    <w:rsid w:val="00891729"/>
    <w:rsid w:val="0089184A"/>
    <w:rsid w:val="00891A07"/>
    <w:rsid w:val="00891BB9"/>
    <w:rsid w:val="00891E06"/>
    <w:rsid w:val="00892078"/>
    <w:rsid w:val="00892584"/>
    <w:rsid w:val="008925DD"/>
    <w:rsid w:val="008927F9"/>
    <w:rsid w:val="00892B8E"/>
    <w:rsid w:val="00892BA6"/>
    <w:rsid w:val="00893615"/>
    <w:rsid w:val="00893642"/>
    <w:rsid w:val="00893873"/>
    <w:rsid w:val="0089396C"/>
    <w:rsid w:val="00893CB8"/>
    <w:rsid w:val="008943FD"/>
    <w:rsid w:val="008944D2"/>
    <w:rsid w:val="00894DA3"/>
    <w:rsid w:val="008952EE"/>
    <w:rsid w:val="008955A4"/>
    <w:rsid w:val="00895917"/>
    <w:rsid w:val="00895BDD"/>
    <w:rsid w:val="00895D37"/>
    <w:rsid w:val="00895E09"/>
    <w:rsid w:val="0089719A"/>
    <w:rsid w:val="00897240"/>
    <w:rsid w:val="00897423"/>
    <w:rsid w:val="0089743F"/>
    <w:rsid w:val="0089747E"/>
    <w:rsid w:val="008975A2"/>
    <w:rsid w:val="008976F5"/>
    <w:rsid w:val="00897C6D"/>
    <w:rsid w:val="008A0688"/>
    <w:rsid w:val="008A0F07"/>
    <w:rsid w:val="008A118A"/>
    <w:rsid w:val="008A12E6"/>
    <w:rsid w:val="008A147D"/>
    <w:rsid w:val="008A1542"/>
    <w:rsid w:val="008A176B"/>
    <w:rsid w:val="008A19AC"/>
    <w:rsid w:val="008A1A73"/>
    <w:rsid w:val="008A1FF7"/>
    <w:rsid w:val="008A241B"/>
    <w:rsid w:val="008A24A9"/>
    <w:rsid w:val="008A26F3"/>
    <w:rsid w:val="008A2B32"/>
    <w:rsid w:val="008A2EBA"/>
    <w:rsid w:val="008A3299"/>
    <w:rsid w:val="008A387D"/>
    <w:rsid w:val="008A38C5"/>
    <w:rsid w:val="008A3BB2"/>
    <w:rsid w:val="008A3C19"/>
    <w:rsid w:val="008A43B0"/>
    <w:rsid w:val="008A463D"/>
    <w:rsid w:val="008A4F47"/>
    <w:rsid w:val="008A5024"/>
    <w:rsid w:val="008A50AE"/>
    <w:rsid w:val="008A51EB"/>
    <w:rsid w:val="008A5C88"/>
    <w:rsid w:val="008A5FFB"/>
    <w:rsid w:val="008A63A5"/>
    <w:rsid w:val="008A63DC"/>
    <w:rsid w:val="008A660A"/>
    <w:rsid w:val="008A672A"/>
    <w:rsid w:val="008A67F1"/>
    <w:rsid w:val="008A70F5"/>
    <w:rsid w:val="008A79EF"/>
    <w:rsid w:val="008A7B0E"/>
    <w:rsid w:val="008A7B55"/>
    <w:rsid w:val="008B056D"/>
    <w:rsid w:val="008B0A92"/>
    <w:rsid w:val="008B11F8"/>
    <w:rsid w:val="008B1606"/>
    <w:rsid w:val="008B1C2A"/>
    <w:rsid w:val="008B21F7"/>
    <w:rsid w:val="008B227E"/>
    <w:rsid w:val="008B23B8"/>
    <w:rsid w:val="008B27C5"/>
    <w:rsid w:val="008B2B27"/>
    <w:rsid w:val="008B2B79"/>
    <w:rsid w:val="008B3226"/>
    <w:rsid w:val="008B3255"/>
    <w:rsid w:val="008B36B3"/>
    <w:rsid w:val="008B3ACB"/>
    <w:rsid w:val="008B3C66"/>
    <w:rsid w:val="008B3CF5"/>
    <w:rsid w:val="008B4297"/>
    <w:rsid w:val="008B51F9"/>
    <w:rsid w:val="008B5A5E"/>
    <w:rsid w:val="008B63DB"/>
    <w:rsid w:val="008B6610"/>
    <w:rsid w:val="008B73FC"/>
    <w:rsid w:val="008B76DB"/>
    <w:rsid w:val="008B7D52"/>
    <w:rsid w:val="008C026C"/>
    <w:rsid w:val="008C0550"/>
    <w:rsid w:val="008C0828"/>
    <w:rsid w:val="008C0D09"/>
    <w:rsid w:val="008C11C0"/>
    <w:rsid w:val="008C17F9"/>
    <w:rsid w:val="008C2037"/>
    <w:rsid w:val="008C2B82"/>
    <w:rsid w:val="008C2FFB"/>
    <w:rsid w:val="008C30F4"/>
    <w:rsid w:val="008C37D8"/>
    <w:rsid w:val="008C3B54"/>
    <w:rsid w:val="008C3C0B"/>
    <w:rsid w:val="008C3CE1"/>
    <w:rsid w:val="008C3E35"/>
    <w:rsid w:val="008C460B"/>
    <w:rsid w:val="008C468F"/>
    <w:rsid w:val="008C4830"/>
    <w:rsid w:val="008C48AD"/>
    <w:rsid w:val="008C4B8F"/>
    <w:rsid w:val="008C4C2C"/>
    <w:rsid w:val="008C4E2D"/>
    <w:rsid w:val="008C5362"/>
    <w:rsid w:val="008C53D7"/>
    <w:rsid w:val="008C54ED"/>
    <w:rsid w:val="008C594B"/>
    <w:rsid w:val="008C656B"/>
    <w:rsid w:val="008C668D"/>
    <w:rsid w:val="008C6AF5"/>
    <w:rsid w:val="008C6E1F"/>
    <w:rsid w:val="008C73E4"/>
    <w:rsid w:val="008C74AA"/>
    <w:rsid w:val="008D0576"/>
    <w:rsid w:val="008D0E62"/>
    <w:rsid w:val="008D1168"/>
    <w:rsid w:val="008D159C"/>
    <w:rsid w:val="008D15A8"/>
    <w:rsid w:val="008D1602"/>
    <w:rsid w:val="008D1785"/>
    <w:rsid w:val="008D1E66"/>
    <w:rsid w:val="008D1EBD"/>
    <w:rsid w:val="008D2276"/>
    <w:rsid w:val="008D22A6"/>
    <w:rsid w:val="008D235C"/>
    <w:rsid w:val="008D263B"/>
    <w:rsid w:val="008D2C4E"/>
    <w:rsid w:val="008D2E64"/>
    <w:rsid w:val="008D2FB9"/>
    <w:rsid w:val="008D3B0D"/>
    <w:rsid w:val="008D4C15"/>
    <w:rsid w:val="008D4C4D"/>
    <w:rsid w:val="008D5116"/>
    <w:rsid w:val="008D51D6"/>
    <w:rsid w:val="008D56F0"/>
    <w:rsid w:val="008D5A42"/>
    <w:rsid w:val="008D5F99"/>
    <w:rsid w:val="008D6AAB"/>
    <w:rsid w:val="008D7EBA"/>
    <w:rsid w:val="008E09F3"/>
    <w:rsid w:val="008E0AA1"/>
    <w:rsid w:val="008E0CD4"/>
    <w:rsid w:val="008E1618"/>
    <w:rsid w:val="008E23CC"/>
    <w:rsid w:val="008E253B"/>
    <w:rsid w:val="008E2568"/>
    <w:rsid w:val="008E2A73"/>
    <w:rsid w:val="008E2F3F"/>
    <w:rsid w:val="008E30E3"/>
    <w:rsid w:val="008E3145"/>
    <w:rsid w:val="008E38E7"/>
    <w:rsid w:val="008E3B06"/>
    <w:rsid w:val="008E3B9A"/>
    <w:rsid w:val="008E3C8E"/>
    <w:rsid w:val="008E3ED2"/>
    <w:rsid w:val="008E42A3"/>
    <w:rsid w:val="008E4A51"/>
    <w:rsid w:val="008E514E"/>
    <w:rsid w:val="008E5886"/>
    <w:rsid w:val="008E59C3"/>
    <w:rsid w:val="008E59F6"/>
    <w:rsid w:val="008E5D2C"/>
    <w:rsid w:val="008E5F46"/>
    <w:rsid w:val="008E5F59"/>
    <w:rsid w:val="008E5F62"/>
    <w:rsid w:val="008E62B4"/>
    <w:rsid w:val="008E6751"/>
    <w:rsid w:val="008E6A35"/>
    <w:rsid w:val="008E6BB9"/>
    <w:rsid w:val="008E6BCB"/>
    <w:rsid w:val="008E6BE7"/>
    <w:rsid w:val="008E6F38"/>
    <w:rsid w:val="008E6FA9"/>
    <w:rsid w:val="008E7D96"/>
    <w:rsid w:val="008F015E"/>
    <w:rsid w:val="008F01EF"/>
    <w:rsid w:val="008F02CA"/>
    <w:rsid w:val="008F02D2"/>
    <w:rsid w:val="008F03CA"/>
    <w:rsid w:val="008F03F1"/>
    <w:rsid w:val="008F0611"/>
    <w:rsid w:val="008F087B"/>
    <w:rsid w:val="008F0B18"/>
    <w:rsid w:val="008F10E3"/>
    <w:rsid w:val="008F11D2"/>
    <w:rsid w:val="008F16CD"/>
    <w:rsid w:val="008F21E2"/>
    <w:rsid w:val="008F2389"/>
    <w:rsid w:val="008F2B03"/>
    <w:rsid w:val="008F2C02"/>
    <w:rsid w:val="008F2D77"/>
    <w:rsid w:val="008F34C7"/>
    <w:rsid w:val="008F36F2"/>
    <w:rsid w:val="008F41E4"/>
    <w:rsid w:val="008F4338"/>
    <w:rsid w:val="008F4680"/>
    <w:rsid w:val="008F4A03"/>
    <w:rsid w:val="008F5521"/>
    <w:rsid w:val="008F5F65"/>
    <w:rsid w:val="008F6022"/>
    <w:rsid w:val="008F66D1"/>
    <w:rsid w:val="008F6798"/>
    <w:rsid w:val="008F67B8"/>
    <w:rsid w:val="008F6931"/>
    <w:rsid w:val="008F6A44"/>
    <w:rsid w:val="008F6B9F"/>
    <w:rsid w:val="008F6BFC"/>
    <w:rsid w:val="008F6E2F"/>
    <w:rsid w:val="008F72E0"/>
    <w:rsid w:val="008F78A9"/>
    <w:rsid w:val="009000F5"/>
    <w:rsid w:val="0090016B"/>
    <w:rsid w:val="00900D42"/>
    <w:rsid w:val="00901601"/>
    <w:rsid w:val="00901DEF"/>
    <w:rsid w:val="009022F3"/>
    <w:rsid w:val="00902370"/>
    <w:rsid w:val="009026FD"/>
    <w:rsid w:val="0090271F"/>
    <w:rsid w:val="00902742"/>
    <w:rsid w:val="00902BA0"/>
    <w:rsid w:val="00902E0E"/>
    <w:rsid w:val="00902FCC"/>
    <w:rsid w:val="009032C5"/>
    <w:rsid w:val="00903930"/>
    <w:rsid w:val="00903B50"/>
    <w:rsid w:val="00903FAC"/>
    <w:rsid w:val="00903FC3"/>
    <w:rsid w:val="0090447A"/>
    <w:rsid w:val="0090469D"/>
    <w:rsid w:val="00904958"/>
    <w:rsid w:val="00904EEB"/>
    <w:rsid w:val="00905070"/>
    <w:rsid w:val="00905339"/>
    <w:rsid w:val="00905377"/>
    <w:rsid w:val="00905696"/>
    <w:rsid w:val="009059CC"/>
    <w:rsid w:val="00905D91"/>
    <w:rsid w:val="00905EB8"/>
    <w:rsid w:val="00905FCE"/>
    <w:rsid w:val="00905FE7"/>
    <w:rsid w:val="00906CC0"/>
    <w:rsid w:val="00907224"/>
    <w:rsid w:val="00907342"/>
    <w:rsid w:val="0090743E"/>
    <w:rsid w:val="009075E3"/>
    <w:rsid w:val="00907C21"/>
    <w:rsid w:val="00910511"/>
    <w:rsid w:val="009105FC"/>
    <w:rsid w:val="0091088E"/>
    <w:rsid w:val="00910D63"/>
    <w:rsid w:val="00910E23"/>
    <w:rsid w:val="00911972"/>
    <w:rsid w:val="009120F0"/>
    <w:rsid w:val="009121DD"/>
    <w:rsid w:val="00912337"/>
    <w:rsid w:val="00912614"/>
    <w:rsid w:val="00912D10"/>
    <w:rsid w:val="00913018"/>
    <w:rsid w:val="00913301"/>
    <w:rsid w:val="009138B2"/>
    <w:rsid w:val="00913F79"/>
    <w:rsid w:val="00914A57"/>
    <w:rsid w:val="00914AE5"/>
    <w:rsid w:val="00915652"/>
    <w:rsid w:val="00916001"/>
    <w:rsid w:val="00916296"/>
    <w:rsid w:val="00916844"/>
    <w:rsid w:val="00916C9B"/>
    <w:rsid w:val="00916CE9"/>
    <w:rsid w:val="009170E7"/>
    <w:rsid w:val="0091732C"/>
    <w:rsid w:val="009178DB"/>
    <w:rsid w:val="00917F0D"/>
    <w:rsid w:val="009200DA"/>
    <w:rsid w:val="0092119B"/>
    <w:rsid w:val="0092158D"/>
    <w:rsid w:val="009215B9"/>
    <w:rsid w:val="00921E1F"/>
    <w:rsid w:val="00922378"/>
    <w:rsid w:val="009225BD"/>
    <w:rsid w:val="0092289A"/>
    <w:rsid w:val="00922D34"/>
    <w:rsid w:val="00922EE0"/>
    <w:rsid w:val="00923B11"/>
    <w:rsid w:val="00923D3A"/>
    <w:rsid w:val="00923F06"/>
    <w:rsid w:val="009247CA"/>
    <w:rsid w:val="00924F06"/>
    <w:rsid w:val="00925557"/>
    <w:rsid w:val="0092559F"/>
    <w:rsid w:val="00925A50"/>
    <w:rsid w:val="00925B53"/>
    <w:rsid w:val="00925BB9"/>
    <w:rsid w:val="00925CE7"/>
    <w:rsid w:val="00925DBA"/>
    <w:rsid w:val="00925E2E"/>
    <w:rsid w:val="00926927"/>
    <w:rsid w:val="00926CC7"/>
    <w:rsid w:val="00926F6D"/>
    <w:rsid w:val="00926F94"/>
    <w:rsid w:val="009273CD"/>
    <w:rsid w:val="009276E8"/>
    <w:rsid w:val="009300D0"/>
    <w:rsid w:val="00930201"/>
    <w:rsid w:val="00930A7F"/>
    <w:rsid w:val="009316C4"/>
    <w:rsid w:val="009316F9"/>
    <w:rsid w:val="0093170D"/>
    <w:rsid w:val="009318BA"/>
    <w:rsid w:val="00931B56"/>
    <w:rsid w:val="00931FD3"/>
    <w:rsid w:val="00932384"/>
    <w:rsid w:val="00932689"/>
    <w:rsid w:val="009328BF"/>
    <w:rsid w:val="00932E90"/>
    <w:rsid w:val="009333F4"/>
    <w:rsid w:val="009335B4"/>
    <w:rsid w:val="009335F3"/>
    <w:rsid w:val="009337E0"/>
    <w:rsid w:val="009339D9"/>
    <w:rsid w:val="00933A94"/>
    <w:rsid w:val="00933B07"/>
    <w:rsid w:val="00933B97"/>
    <w:rsid w:val="00933D56"/>
    <w:rsid w:val="009345AF"/>
    <w:rsid w:val="0093467B"/>
    <w:rsid w:val="0093469F"/>
    <w:rsid w:val="0093478B"/>
    <w:rsid w:val="00934940"/>
    <w:rsid w:val="00934DC3"/>
    <w:rsid w:val="00934F81"/>
    <w:rsid w:val="0093510B"/>
    <w:rsid w:val="00935532"/>
    <w:rsid w:val="00935672"/>
    <w:rsid w:val="009357C2"/>
    <w:rsid w:val="00935B11"/>
    <w:rsid w:val="0093616F"/>
    <w:rsid w:val="00936E45"/>
    <w:rsid w:val="009371E5"/>
    <w:rsid w:val="00937235"/>
    <w:rsid w:val="00937352"/>
    <w:rsid w:val="009376B1"/>
    <w:rsid w:val="00937725"/>
    <w:rsid w:val="00937ABA"/>
    <w:rsid w:val="00937B0C"/>
    <w:rsid w:val="009400D1"/>
    <w:rsid w:val="00940230"/>
    <w:rsid w:val="009407B5"/>
    <w:rsid w:val="00940CBE"/>
    <w:rsid w:val="00940F4E"/>
    <w:rsid w:val="00941B6D"/>
    <w:rsid w:val="00942964"/>
    <w:rsid w:val="00942D78"/>
    <w:rsid w:val="00942EC7"/>
    <w:rsid w:val="009433AD"/>
    <w:rsid w:val="009433B6"/>
    <w:rsid w:val="00943834"/>
    <w:rsid w:val="00943EAB"/>
    <w:rsid w:val="00943ECD"/>
    <w:rsid w:val="009442D7"/>
    <w:rsid w:val="009442E1"/>
    <w:rsid w:val="00945799"/>
    <w:rsid w:val="00945B44"/>
    <w:rsid w:val="00945F12"/>
    <w:rsid w:val="0094608D"/>
    <w:rsid w:val="009462B5"/>
    <w:rsid w:val="009469FE"/>
    <w:rsid w:val="00946AA4"/>
    <w:rsid w:val="009471A4"/>
    <w:rsid w:val="009476B4"/>
    <w:rsid w:val="009476EC"/>
    <w:rsid w:val="00947862"/>
    <w:rsid w:val="009503C0"/>
    <w:rsid w:val="009504C2"/>
    <w:rsid w:val="00950557"/>
    <w:rsid w:val="00950A07"/>
    <w:rsid w:val="00950CA8"/>
    <w:rsid w:val="00950CD6"/>
    <w:rsid w:val="00950E97"/>
    <w:rsid w:val="009511D8"/>
    <w:rsid w:val="00951AA0"/>
    <w:rsid w:val="00952A26"/>
    <w:rsid w:val="00952C06"/>
    <w:rsid w:val="00953563"/>
    <w:rsid w:val="0095358A"/>
    <w:rsid w:val="00953709"/>
    <w:rsid w:val="009537A7"/>
    <w:rsid w:val="00953898"/>
    <w:rsid w:val="00953B4F"/>
    <w:rsid w:val="00953BB6"/>
    <w:rsid w:val="00953BE5"/>
    <w:rsid w:val="0095467B"/>
    <w:rsid w:val="00954726"/>
    <w:rsid w:val="0095505E"/>
    <w:rsid w:val="00955233"/>
    <w:rsid w:val="009554C3"/>
    <w:rsid w:val="00955CC3"/>
    <w:rsid w:val="009560B5"/>
    <w:rsid w:val="00956B20"/>
    <w:rsid w:val="00956EB9"/>
    <w:rsid w:val="00957218"/>
    <w:rsid w:val="0095731C"/>
    <w:rsid w:val="00957591"/>
    <w:rsid w:val="009578F1"/>
    <w:rsid w:val="00957ECE"/>
    <w:rsid w:val="0096023A"/>
    <w:rsid w:val="00960889"/>
    <w:rsid w:val="00960A38"/>
    <w:rsid w:val="00960C3B"/>
    <w:rsid w:val="00960D6C"/>
    <w:rsid w:val="00961263"/>
    <w:rsid w:val="00961287"/>
    <w:rsid w:val="00961693"/>
    <w:rsid w:val="009618E1"/>
    <w:rsid w:val="00961F5D"/>
    <w:rsid w:val="0096225E"/>
    <w:rsid w:val="00962E50"/>
    <w:rsid w:val="00963524"/>
    <w:rsid w:val="009644EF"/>
    <w:rsid w:val="00964682"/>
    <w:rsid w:val="00965107"/>
    <w:rsid w:val="009655BC"/>
    <w:rsid w:val="00965628"/>
    <w:rsid w:val="00965C5B"/>
    <w:rsid w:val="00965F52"/>
    <w:rsid w:val="00965F7C"/>
    <w:rsid w:val="00966093"/>
    <w:rsid w:val="00966316"/>
    <w:rsid w:val="00966351"/>
    <w:rsid w:val="009663BF"/>
    <w:rsid w:val="009669EF"/>
    <w:rsid w:val="009674DF"/>
    <w:rsid w:val="009707E6"/>
    <w:rsid w:val="00970869"/>
    <w:rsid w:val="00970BB5"/>
    <w:rsid w:val="00970D9C"/>
    <w:rsid w:val="009711BA"/>
    <w:rsid w:val="00971FD0"/>
    <w:rsid w:val="009728FA"/>
    <w:rsid w:val="00972C10"/>
    <w:rsid w:val="00972FF3"/>
    <w:rsid w:val="0097362D"/>
    <w:rsid w:val="00973AD1"/>
    <w:rsid w:val="009740EC"/>
    <w:rsid w:val="0097508D"/>
    <w:rsid w:val="0097657C"/>
    <w:rsid w:val="009766B2"/>
    <w:rsid w:val="00977007"/>
    <w:rsid w:val="00977318"/>
    <w:rsid w:val="00977895"/>
    <w:rsid w:val="00977AB5"/>
    <w:rsid w:val="00977D2E"/>
    <w:rsid w:val="00977DBA"/>
    <w:rsid w:val="00977ECA"/>
    <w:rsid w:val="0098011C"/>
    <w:rsid w:val="0098054F"/>
    <w:rsid w:val="00980961"/>
    <w:rsid w:val="00980CEF"/>
    <w:rsid w:val="00980D9B"/>
    <w:rsid w:val="00980E23"/>
    <w:rsid w:val="009811A0"/>
    <w:rsid w:val="009815A0"/>
    <w:rsid w:val="00981789"/>
    <w:rsid w:val="009824EF"/>
    <w:rsid w:val="00982A2B"/>
    <w:rsid w:val="00982BEE"/>
    <w:rsid w:val="009831A7"/>
    <w:rsid w:val="0098321A"/>
    <w:rsid w:val="009833B5"/>
    <w:rsid w:val="0098349E"/>
    <w:rsid w:val="00983791"/>
    <w:rsid w:val="00983E07"/>
    <w:rsid w:val="009844C3"/>
    <w:rsid w:val="009846C7"/>
    <w:rsid w:val="00984AA1"/>
    <w:rsid w:val="00984B2C"/>
    <w:rsid w:val="00984F86"/>
    <w:rsid w:val="009852C0"/>
    <w:rsid w:val="00985A58"/>
    <w:rsid w:val="00985A95"/>
    <w:rsid w:val="00985C16"/>
    <w:rsid w:val="00986568"/>
    <w:rsid w:val="00986A1C"/>
    <w:rsid w:val="00986FA4"/>
    <w:rsid w:val="009871B3"/>
    <w:rsid w:val="0098733D"/>
    <w:rsid w:val="0098738A"/>
    <w:rsid w:val="00987429"/>
    <w:rsid w:val="00987430"/>
    <w:rsid w:val="0098793E"/>
    <w:rsid w:val="00987955"/>
    <w:rsid w:val="00987A4E"/>
    <w:rsid w:val="00991583"/>
    <w:rsid w:val="00991C65"/>
    <w:rsid w:val="0099213C"/>
    <w:rsid w:val="0099289A"/>
    <w:rsid w:val="00992917"/>
    <w:rsid w:val="00992A9B"/>
    <w:rsid w:val="00992FDC"/>
    <w:rsid w:val="00993766"/>
    <w:rsid w:val="009942A1"/>
    <w:rsid w:val="009942C3"/>
    <w:rsid w:val="00994517"/>
    <w:rsid w:val="00994BA1"/>
    <w:rsid w:val="00994BE6"/>
    <w:rsid w:val="0099571E"/>
    <w:rsid w:val="009959FD"/>
    <w:rsid w:val="00995E73"/>
    <w:rsid w:val="009963AD"/>
    <w:rsid w:val="00996BE2"/>
    <w:rsid w:val="00996C9C"/>
    <w:rsid w:val="00996DBF"/>
    <w:rsid w:val="009973C1"/>
    <w:rsid w:val="00997767"/>
    <w:rsid w:val="00997D79"/>
    <w:rsid w:val="00997F06"/>
    <w:rsid w:val="009A0412"/>
    <w:rsid w:val="009A0472"/>
    <w:rsid w:val="009A0E49"/>
    <w:rsid w:val="009A0E62"/>
    <w:rsid w:val="009A1C11"/>
    <w:rsid w:val="009A1C95"/>
    <w:rsid w:val="009A27CD"/>
    <w:rsid w:val="009A2DDF"/>
    <w:rsid w:val="009A2EE5"/>
    <w:rsid w:val="009A401C"/>
    <w:rsid w:val="009A4295"/>
    <w:rsid w:val="009A4956"/>
    <w:rsid w:val="009A51F3"/>
    <w:rsid w:val="009A53C4"/>
    <w:rsid w:val="009A54B9"/>
    <w:rsid w:val="009A5E37"/>
    <w:rsid w:val="009A5ED8"/>
    <w:rsid w:val="009A60DF"/>
    <w:rsid w:val="009A62FA"/>
    <w:rsid w:val="009A6682"/>
    <w:rsid w:val="009A6BD1"/>
    <w:rsid w:val="009A72DB"/>
    <w:rsid w:val="009A7312"/>
    <w:rsid w:val="009A7334"/>
    <w:rsid w:val="009A7360"/>
    <w:rsid w:val="009A7A57"/>
    <w:rsid w:val="009A7AC9"/>
    <w:rsid w:val="009B0291"/>
    <w:rsid w:val="009B06A2"/>
    <w:rsid w:val="009B082C"/>
    <w:rsid w:val="009B0A4E"/>
    <w:rsid w:val="009B0DC5"/>
    <w:rsid w:val="009B1C46"/>
    <w:rsid w:val="009B1EB5"/>
    <w:rsid w:val="009B1FA2"/>
    <w:rsid w:val="009B2149"/>
    <w:rsid w:val="009B242F"/>
    <w:rsid w:val="009B26F7"/>
    <w:rsid w:val="009B2886"/>
    <w:rsid w:val="009B2E7D"/>
    <w:rsid w:val="009B301C"/>
    <w:rsid w:val="009B39E8"/>
    <w:rsid w:val="009B3DD4"/>
    <w:rsid w:val="009B3E46"/>
    <w:rsid w:val="009B46E8"/>
    <w:rsid w:val="009B4922"/>
    <w:rsid w:val="009B4EAD"/>
    <w:rsid w:val="009B5135"/>
    <w:rsid w:val="009B56B9"/>
    <w:rsid w:val="009B5768"/>
    <w:rsid w:val="009B5878"/>
    <w:rsid w:val="009B5D62"/>
    <w:rsid w:val="009B5DA3"/>
    <w:rsid w:val="009B6564"/>
    <w:rsid w:val="009B6F3E"/>
    <w:rsid w:val="009B6FD3"/>
    <w:rsid w:val="009B7A5C"/>
    <w:rsid w:val="009C0114"/>
    <w:rsid w:val="009C034E"/>
    <w:rsid w:val="009C0407"/>
    <w:rsid w:val="009C041C"/>
    <w:rsid w:val="009C06C0"/>
    <w:rsid w:val="009C07AA"/>
    <w:rsid w:val="009C17A1"/>
    <w:rsid w:val="009C1AA9"/>
    <w:rsid w:val="009C2059"/>
    <w:rsid w:val="009C32D5"/>
    <w:rsid w:val="009C3502"/>
    <w:rsid w:val="009C3833"/>
    <w:rsid w:val="009C447F"/>
    <w:rsid w:val="009C465B"/>
    <w:rsid w:val="009C4768"/>
    <w:rsid w:val="009C482F"/>
    <w:rsid w:val="009C4842"/>
    <w:rsid w:val="009C5C0E"/>
    <w:rsid w:val="009C5C53"/>
    <w:rsid w:val="009C65C5"/>
    <w:rsid w:val="009C687F"/>
    <w:rsid w:val="009C6F3F"/>
    <w:rsid w:val="009C7010"/>
    <w:rsid w:val="009C7570"/>
    <w:rsid w:val="009C7DC9"/>
    <w:rsid w:val="009C7F09"/>
    <w:rsid w:val="009D03DB"/>
    <w:rsid w:val="009D1288"/>
    <w:rsid w:val="009D1438"/>
    <w:rsid w:val="009D18D4"/>
    <w:rsid w:val="009D1AFA"/>
    <w:rsid w:val="009D1B73"/>
    <w:rsid w:val="009D1F5A"/>
    <w:rsid w:val="009D3422"/>
    <w:rsid w:val="009D351A"/>
    <w:rsid w:val="009D4A9C"/>
    <w:rsid w:val="009D53E6"/>
    <w:rsid w:val="009D556A"/>
    <w:rsid w:val="009D59E1"/>
    <w:rsid w:val="009D5C50"/>
    <w:rsid w:val="009D6426"/>
    <w:rsid w:val="009D6C2A"/>
    <w:rsid w:val="009D6C91"/>
    <w:rsid w:val="009D7174"/>
    <w:rsid w:val="009D7949"/>
    <w:rsid w:val="009D7C59"/>
    <w:rsid w:val="009E07F3"/>
    <w:rsid w:val="009E1144"/>
    <w:rsid w:val="009E137B"/>
    <w:rsid w:val="009E180C"/>
    <w:rsid w:val="009E1C05"/>
    <w:rsid w:val="009E2062"/>
    <w:rsid w:val="009E262D"/>
    <w:rsid w:val="009E264C"/>
    <w:rsid w:val="009E2794"/>
    <w:rsid w:val="009E2989"/>
    <w:rsid w:val="009E2B83"/>
    <w:rsid w:val="009E2BDC"/>
    <w:rsid w:val="009E30AB"/>
    <w:rsid w:val="009E30C1"/>
    <w:rsid w:val="009E31AC"/>
    <w:rsid w:val="009E325E"/>
    <w:rsid w:val="009E3629"/>
    <w:rsid w:val="009E3F5B"/>
    <w:rsid w:val="009E5513"/>
    <w:rsid w:val="009E5666"/>
    <w:rsid w:val="009E5EE4"/>
    <w:rsid w:val="009E5F0B"/>
    <w:rsid w:val="009E62AF"/>
    <w:rsid w:val="009E63A3"/>
    <w:rsid w:val="009E6E0A"/>
    <w:rsid w:val="009E7556"/>
    <w:rsid w:val="009E7646"/>
    <w:rsid w:val="009E7807"/>
    <w:rsid w:val="009E7AAF"/>
    <w:rsid w:val="009E7F2A"/>
    <w:rsid w:val="009F02F7"/>
    <w:rsid w:val="009F08E3"/>
    <w:rsid w:val="009F0AF4"/>
    <w:rsid w:val="009F0BA7"/>
    <w:rsid w:val="009F0C62"/>
    <w:rsid w:val="009F10E2"/>
    <w:rsid w:val="009F1371"/>
    <w:rsid w:val="009F1D32"/>
    <w:rsid w:val="009F1FF4"/>
    <w:rsid w:val="009F268D"/>
    <w:rsid w:val="009F2E1C"/>
    <w:rsid w:val="009F2F15"/>
    <w:rsid w:val="009F3458"/>
    <w:rsid w:val="009F3565"/>
    <w:rsid w:val="009F3C4B"/>
    <w:rsid w:val="009F3D80"/>
    <w:rsid w:val="009F3FF2"/>
    <w:rsid w:val="009F40D5"/>
    <w:rsid w:val="009F42D5"/>
    <w:rsid w:val="009F48A9"/>
    <w:rsid w:val="009F4CFB"/>
    <w:rsid w:val="009F4D21"/>
    <w:rsid w:val="009F62D3"/>
    <w:rsid w:val="009F63EB"/>
    <w:rsid w:val="009F6AC2"/>
    <w:rsid w:val="009F7202"/>
    <w:rsid w:val="009F739B"/>
    <w:rsid w:val="009F75ED"/>
    <w:rsid w:val="009F7D25"/>
    <w:rsid w:val="009F7EE8"/>
    <w:rsid w:val="009F7F49"/>
    <w:rsid w:val="00A004A2"/>
    <w:rsid w:val="00A00C15"/>
    <w:rsid w:val="00A01369"/>
    <w:rsid w:val="00A01377"/>
    <w:rsid w:val="00A01387"/>
    <w:rsid w:val="00A0197D"/>
    <w:rsid w:val="00A01F4C"/>
    <w:rsid w:val="00A022EB"/>
    <w:rsid w:val="00A025F4"/>
    <w:rsid w:val="00A026EF"/>
    <w:rsid w:val="00A027E6"/>
    <w:rsid w:val="00A02A7F"/>
    <w:rsid w:val="00A02C5F"/>
    <w:rsid w:val="00A0368D"/>
    <w:rsid w:val="00A03F26"/>
    <w:rsid w:val="00A03F4D"/>
    <w:rsid w:val="00A04263"/>
    <w:rsid w:val="00A043A9"/>
    <w:rsid w:val="00A04627"/>
    <w:rsid w:val="00A04B0C"/>
    <w:rsid w:val="00A04E69"/>
    <w:rsid w:val="00A04F00"/>
    <w:rsid w:val="00A05309"/>
    <w:rsid w:val="00A05B02"/>
    <w:rsid w:val="00A05C01"/>
    <w:rsid w:val="00A05EBA"/>
    <w:rsid w:val="00A06110"/>
    <w:rsid w:val="00A0645E"/>
    <w:rsid w:val="00A0646A"/>
    <w:rsid w:val="00A06548"/>
    <w:rsid w:val="00A06642"/>
    <w:rsid w:val="00A066BE"/>
    <w:rsid w:val="00A06AE8"/>
    <w:rsid w:val="00A06B37"/>
    <w:rsid w:val="00A06EBB"/>
    <w:rsid w:val="00A07229"/>
    <w:rsid w:val="00A07C7D"/>
    <w:rsid w:val="00A100A8"/>
    <w:rsid w:val="00A1077F"/>
    <w:rsid w:val="00A109A1"/>
    <w:rsid w:val="00A10BC0"/>
    <w:rsid w:val="00A10F0A"/>
    <w:rsid w:val="00A11426"/>
    <w:rsid w:val="00A117A6"/>
    <w:rsid w:val="00A11A3C"/>
    <w:rsid w:val="00A11B75"/>
    <w:rsid w:val="00A12049"/>
    <w:rsid w:val="00A12A8C"/>
    <w:rsid w:val="00A12C48"/>
    <w:rsid w:val="00A12CCF"/>
    <w:rsid w:val="00A1375C"/>
    <w:rsid w:val="00A139DA"/>
    <w:rsid w:val="00A13BAC"/>
    <w:rsid w:val="00A13CB0"/>
    <w:rsid w:val="00A1415C"/>
    <w:rsid w:val="00A14238"/>
    <w:rsid w:val="00A1429F"/>
    <w:rsid w:val="00A142BE"/>
    <w:rsid w:val="00A16124"/>
    <w:rsid w:val="00A166E0"/>
    <w:rsid w:val="00A16E0F"/>
    <w:rsid w:val="00A1766E"/>
    <w:rsid w:val="00A1794E"/>
    <w:rsid w:val="00A17E37"/>
    <w:rsid w:val="00A2091B"/>
    <w:rsid w:val="00A21002"/>
    <w:rsid w:val="00A21ADE"/>
    <w:rsid w:val="00A21D02"/>
    <w:rsid w:val="00A21D3C"/>
    <w:rsid w:val="00A21DDF"/>
    <w:rsid w:val="00A21E70"/>
    <w:rsid w:val="00A21EA8"/>
    <w:rsid w:val="00A228C6"/>
    <w:rsid w:val="00A22B13"/>
    <w:rsid w:val="00A22F39"/>
    <w:rsid w:val="00A22F78"/>
    <w:rsid w:val="00A22F9F"/>
    <w:rsid w:val="00A23488"/>
    <w:rsid w:val="00A23528"/>
    <w:rsid w:val="00A242CB"/>
    <w:rsid w:val="00A2443C"/>
    <w:rsid w:val="00A244A8"/>
    <w:rsid w:val="00A24518"/>
    <w:rsid w:val="00A24588"/>
    <w:rsid w:val="00A24AE9"/>
    <w:rsid w:val="00A24E8D"/>
    <w:rsid w:val="00A25A59"/>
    <w:rsid w:val="00A25BF8"/>
    <w:rsid w:val="00A27297"/>
    <w:rsid w:val="00A2739A"/>
    <w:rsid w:val="00A27410"/>
    <w:rsid w:val="00A274FB"/>
    <w:rsid w:val="00A27AF6"/>
    <w:rsid w:val="00A30336"/>
    <w:rsid w:val="00A305A6"/>
    <w:rsid w:val="00A305AE"/>
    <w:rsid w:val="00A30870"/>
    <w:rsid w:val="00A308B3"/>
    <w:rsid w:val="00A30BDD"/>
    <w:rsid w:val="00A30D08"/>
    <w:rsid w:val="00A30E02"/>
    <w:rsid w:val="00A311B3"/>
    <w:rsid w:val="00A31323"/>
    <w:rsid w:val="00A31A10"/>
    <w:rsid w:val="00A31AB2"/>
    <w:rsid w:val="00A31FFF"/>
    <w:rsid w:val="00A32246"/>
    <w:rsid w:val="00A322C7"/>
    <w:rsid w:val="00A326B3"/>
    <w:rsid w:val="00A32917"/>
    <w:rsid w:val="00A32D09"/>
    <w:rsid w:val="00A3315D"/>
    <w:rsid w:val="00A333F6"/>
    <w:rsid w:val="00A33756"/>
    <w:rsid w:val="00A33FE9"/>
    <w:rsid w:val="00A34555"/>
    <w:rsid w:val="00A34718"/>
    <w:rsid w:val="00A3474C"/>
    <w:rsid w:val="00A347B5"/>
    <w:rsid w:val="00A349FB"/>
    <w:rsid w:val="00A34A45"/>
    <w:rsid w:val="00A3527F"/>
    <w:rsid w:val="00A35B16"/>
    <w:rsid w:val="00A35B53"/>
    <w:rsid w:val="00A35CF6"/>
    <w:rsid w:val="00A35F7A"/>
    <w:rsid w:val="00A3605A"/>
    <w:rsid w:val="00A3625B"/>
    <w:rsid w:val="00A362EF"/>
    <w:rsid w:val="00A368B8"/>
    <w:rsid w:val="00A36A5D"/>
    <w:rsid w:val="00A36E49"/>
    <w:rsid w:val="00A36EC6"/>
    <w:rsid w:val="00A36EFB"/>
    <w:rsid w:val="00A37777"/>
    <w:rsid w:val="00A3778D"/>
    <w:rsid w:val="00A37DF2"/>
    <w:rsid w:val="00A40251"/>
    <w:rsid w:val="00A406EA"/>
    <w:rsid w:val="00A4080E"/>
    <w:rsid w:val="00A40B0A"/>
    <w:rsid w:val="00A40C1E"/>
    <w:rsid w:val="00A40D52"/>
    <w:rsid w:val="00A4157F"/>
    <w:rsid w:val="00A41ECF"/>
    <w:rsid w:val="00A426F8"/>
    <w:rsid w:val="00A42749"/>
    <w:rsid w:val="00A427AE"/>
    <w:rsid w:val="00A42F3D"/>
    <w:rsid w:val="00A42FC0"/>
    <w:rsid w:val="00A4309F"/>
    <w:rsid w:val="00A431F6"/>
    <w:rsid w:val="00A43896"/>
    <w:rsid w:val="00A43AF6"/>
    <w:rsid w:val="00A440A8"/>
    <w:rsid w:val="00A4415F"/>
    <w:rsid w:val="00A44949"/>
    <w:rsid w:val="00A45283"/>
    <w:rsid w:val="00A455DD"/>
    <w:rsid w:val="00A4590F"/>
    <w:rsid w:val="00A4592D"/>
    <w:rsid w:val="00A46327"/>
    <w:rsid w:val="00A468BC"/>
    <w:rsid w:val="00A4690E"/>
    <w:rsid w:val="00A46AC0"/>
    <w:rsid w:val="00A4737D"/>
    <w:rsid w:val="00A4738B"/>
    <w:rsid w:val="00A474CB"/>
    <w:rsid w:val="00A475B3"/>
    <w:rsid w:val="00A475C2"/>
    <w:rsid w:val="00A50184"/>
    <w:rsid w:val="00A50B93"/>
    <w:rsid w:val="00A50C81"/>
    <w:rsid w:val="00A50DB6"/>
    <w:rsid w:val="00A51034"/>
    <w:rsid w:val="00A51277"/>
    <w:rsid w:val="00A517E8"/>
    <w:rsid w:val="00A51D9C"/>
    <w:rsid w:val="00A51F5E"/>
    <w:rsid w:val="00A52324"/>
    <w:rsid w:val="00A52863"/>
    <w:rsid w:val="00A52E55"/>
    <w:rsid w:val="00A53264"/>
    <w:rsid w:val="00A53873"/>
    <w:rsid w:val="00A53C72"/>
    <w:rsid w:val="00A53FEE"/>
    <w:rsid w:val="00A5415A"/>
    <w:rsid w:val="00A544FA"/>
    <w:rsid w:val="00A54F76"/>
    <w:rsid w:val="00A55107"/>
    <w:rsid w:val="00A55202"/>
    <w:rsid w:val="00A556B3"/>
    <w:rsid w:val="00A55E28"/>
    <w:rsid w:val="00A55E8B"/>
    <w:rsid w:val="00A55F14"/>
    <w:rsid w:val="00A5611C"/>
    <w:rsid w:val="00A567A6"/>
    <w:rsid w:val="00A56831"/>
    <w:rsid w:val="00A57031"/>
    <w:rsid w:val="00A575AB"/>
    <w:rsid w:val="00A57667"/>
    <w:rsid w:val="00A576F4"/>
    <w:rsid w:val="00A60293"/>
    <w:rsid w:val="00A607DD"/>
    <w:rsid w:val="00A60ABA"/>
    <w:rsid w:val="00A6170D"/>
    <w:rsid w:val="00A61A08"/>
    <w:rsid w:val="00A61F0C"/>
    <w:rsid w:val="00A62AFC"/>
    <w:rsid w:val="00A62C2C"/>
    <w:rsid w:val="00A62FFF"/>
    <w:rsid w:val="00A63769"/>
    <w:rsid w:val="00A63B89"/>
    <w:rsid w:val="00A63C25"/>
    <w:rsid w:val="00A63F3A"/>
    <w:rsid w:val="00A643AA"/>
    <w:rsid w:val="00A6496E"/>
    <w:rsid w:val="00A651A4"/>
    <w:rsid w:val="00A653FB"/>
    <w:rsid w:val="00A65BD2"/>
    <w:rsid w:val="00A65C66"/>
    <w:rsid w:val="00A666A0"/>
    <w:rsid w:val="00A6671F"/>
    <w:rsid w:val="00A671E3"/>
    <w:rsid w:val="00A6729F"/>
    <w:rsid w:val="00A67690"/>
    <w:rsid w:val="00A679FF"/>
    <w:rsid w:val="00A67FE9"/>
    <w:rsid w:val="00A70184"/>
    <w:rsid w:val="00A70E71"/>
    <w:rsid w:val="00A71542"/>
    <w:rsid w:val="00A722D3"/>
    <w:rsid w:val="00A7235C"/>
    <w:rsid w:val="00A72AEA"/>
    <w:rsid w:val="00A73C03"/>
    <w:rsid w:val="00A73FA9"/>
    <w:rsid w:val="00A7417F"/>
    <w:rsid w:val="00A74213"/>
    <w:rsid w:val="00A745F3"/>
    <w:rsid w:val="00A74699"/>
    <w:rsid w:val="00A7469E"/>
    <w:rsid w:val="00A74BA9"/>
    <w:rsid w:val="00A75A8F"/>
    <w:rsid w:val="00A75B7B"/>
    <w:rsid w:val="00A75E30"/>
    <w:rsid w:val="00A7602A"/>
    <w:rsid w:val="00A761AB"/>
    <w:rsid w:val="00A76317"/>
    <w:rsid w:val="00A768B4"/>
    <w:rsid w:val="00A769BC"/>
    <w:rsid w:val="00A76A9F"/>
    <w:rsid w:val="00A76DDB"/>
    <w:rsid w:val="00A77505"/>
    <w:rsid w:val="00A77810"/>
    <w:rsid w:val="00A77ACA"/>
    <w:rsid w:val="00A77B7A"/>
    <w:rsid w:val="00A8014F"/>
    <w:rsid w:val="00A8018A"/>
    <w:rsid w:val="00A808A2"/>
    <w:rsid w:val="00A80C22"/>
    <w:rsid w:val="00A80DDF"/>
    <w:rsid w:val="00A80EF6"/>
    <w:rsid w:val="00A80F13"/>
    <w:rsid w:val="00A81177"/>
    <w:rsid w:val="00A813F8"/>
    <w:rsid w:val="00A819D7"/>
    <w:rsid w:val="00A82325"/>
    <w:rsid w:val="00A82A5B"/>
    <w:rsid w:val="00A83081"/>
    <w:rsid w:val="00A834C2"/>
    <w:rsid w:val="00A83B50"/>
    <w:rsid w:val="00A83C71"/>
    <w:rsid w:val="00A83E63"/>
    <w:rsid w:val="00A83E78"/>
    <w:rsid w:val="00A8466F"/>
    <w:rsid w:val="00A846D8"/>
    <w:rsid w:val="00A84A27"/>
    <w:rsid w:val="00A85004"/>
    <w:rsid w:val="00A8519A"/>
    <w:rsid w:val="00A8520C"/>
    <w:rsid w:val="00A861C3"/>
    <w:rsid w:val="00A870A3"/>
    <w:rsid w:val="00A8724E"/>
    <w:rsid w:val="00A8779C"/>
    <w:rsid w:val="00A87FA8"/>
    <w:rsid w:val="00A900C7"/>
    <w:rsid w:val="00A90F6B"/>
    <w:rsid w:val="00A911E0"/>
    <w:rsid w:val="00A91BCC"/>
    <w:rsid w:val="00A91E59"/>
    <w:rsid w:val="00A91EED"/>
    <w:rsid w:val="00A9212A"/>
    <w:rsid w:val="00A92274"/>
    <w:rsid w:val="00A923B1"/>
    <w:rsid w:val="00A92411"/>
    <w:rsid w:val="00A9245C"/>
    <w:rsid w:val="00A92C1D"/>
    <w:rsid w:val="00A92D62"/>
    <w:rsid w:val="00A9310B"/>
    <w:rsid w:val="00A9339E"/>
    <w:rsid w:val="00A93466"/>
    <w:rsid w:val="00A94338"/>
    <w:rsid w:val="00A9451D"/>
    <w:rsid w:val="00A94535"/>
    <w:rsid w:val="00A94DD4"/>
    <w:rsid w:val="00A94EB5"/>
    <w:rsid w:val="00A95639"/>
    <w:rsid w:val="00A956A8"/>
    <w:rsid w:val="00A957E8"/>
    <w:rsid w:val="00A95A2B"/>
    <w:rsid w:val="00A962F9"/>
    <w:rsid w:val="00A96792"/>
    <w:rsid w:val="00A967EE"/>
    <w:rsid w:val="00A96906"/>
    <w:rsid w:val="00A96B48"/>
    <w:rsid w:val="00A96C9E"/>
    <w:rsid w:val="00A96E53"/>
    <w:rsid w:val="00A9709C"/>
    <w:rsid w:val="00A97593"/>
    <w:rsid w:val="00A97B70"/>
    <w:rsid w:val="00A97D99"/>
    <w:rsid w:val="00AA0062"/>
    <w:rsid w:val="00AA042A"/>
    <w:rsid w:val="00AA046A"/>
    <w:rsid w:val="00AA133E"/>
    <w:rsid w:val="00AA1353"/>
    <w:rsid w:val="00AA188A"/>
    <w:rsid w:val="00AA2446"/>
    <w:rsid w:val="00AA2A26"/>
    <w:rsid w:val="00AA2C32"/>
    <w:rsid w:val="00AA3199"/>
    <w:rsid w:val="00AA3413"/>
    <w:rsid w:val="00AA3649"/>
    <w:rsid w:val="00AA36E9"/>
    <w:rsid w:val="00AA3F58"/>
    <w:rsid w:val="00AA538E"/>
    <w:rsid w:val="00AA5527"/>
    <w:rsid w:val="00AA57BE"/>
    <w:rsid w:val="00AA5968"/>
    <w:rsid w:val="00AA5BAB"/>
    <w:rsid w:val="00AA5E3E"/>
    <w:rsid w:val="00AA64B1"/>
    <w:rsid w:val="00AA6574"/>
    <w:rsid w:val="00AA6744"/>
    <w:rsid w:val="00AA6988"/>
    <w:rsid w:val="00AA6AF1"/>
    <w:rsid w:val="00AA6B0B"/>
    <w:rsid w:val="00AA6EF6"/>
    <w:rsid w:val="00AA7526"/>
    <w:rsid w:val="00AA7F3F"/>
    <w:rsid w:val="00AB0225"/>
    <w:rsid w:val="00AB03D2"/>
    <w:rsid w:val="00AB0506"/>
    <w:rsid w:val="00AB0BD7"/>
    <w:rsid w:val="00AB0C48"/>
    <w:rsid w:val="00AB0E9D"/>
    <w:rsid w:val="00AB2438"/>
    <w:rsid w:val="00AB2B41"/>
    <w:rsid w:val="00AB3068"/>
    <w:rsid w:val="00AB3AC1"/>
    <w:rsid w:val="00AB3B65"/>
    <w:rsid w:val="00AB45C1"/>
    <w:rsid w:val="00AB48B7"/>
    <w:rsid w:val="00AB4D85"/>
    <w:rsid w:val="00AB51D0"/>
    <w:rsid w:val="00AB57BE"/>
    <w:rsid w:val="00AB5D5F"/>
    <w:rsid w:val="00AB5DB9"/>
    <w:rsid w:val="00AB5F39"/>
    <w:rsid w:val="00AB5FBB"/>
    <w:rsid w:val="00AB6768"/>
    <w:rsid w:val="00AB6F09"/>
    <w:rsid w:val="00AB75BA"/>
    <w:rsid w:val="00AB7A38"/>
    <w:rsid w:val="00AB7BA9"/>
    <w:rsid w:val="00AC0949"/>
    <w:rsid w:val="00AC0999"/>
    <w:rsid w:val="00AC0E09"/>
    <w:rsid w:val="00AC15BB"/>
    <w:rsid w:val="00AC1643"/>
    <w:rsid w:val="00AC1786"/>
    <w:rsid w:val="00AC1AFE"/>
    <w:rsid w:val="00AC1D94"/>
    <w:rsid w:val="00AC1DE6"/>
    <w:rsid w:val="00AC241C"/>
    <w:rsid w:val="00AC2667"/>
    <w:rsid w:val="00AC2BD2"/>
    <w:rsid w:val="00AC2E54"/>
    <w:rsid w:val="00AC2E7F"/>
    <w:rsid w:val="00AC3365"/>
    <w:rsid w:val="00AC33C6"/>
    <w:rsid w:val="00AC3B85"/>
    <w:rsid w:val="00AC3E99"/>
    <w:rsid w:val="00AC44A6"/>
    <w:rsid w:val="00AC47EF"/>
    <w:rsid w:val="00AC501D"/>
    <w:rsid w:val="00AC50B1"/>
    <w:rsid w:val="00AC52DE"/>
    <w:rsid w:val="00AC55BD"/>
    <w:rsid w:val="00AC55C0"/>
    <w:rsid w:val="00AC579C"/>
    <w:rsid w:val="00AC5D46"/>
    <w:rsid w:val="00AC5EF9"/>
    <w:rsid w:val="00AC635A"/>
    <w:rsid w:val="00AC7782"/>
    <w:rsid w:val="00AC77C5"/>
    <w:rsid w:val="00AC7E30"/>
    <w:rsid w:val="00AD0F9E"/>
    <w:rsid w:val="00AD13D7"/>
    <w:rsid w:val="00AD1B88"/>
    <w:rsid w:val="00AD1CC7"/>
    <w:rsid w:val="00AD232F"/>
    <w:rsid w:val="00AD2556"/>
    <w:rsid w:val="00AD29F4"/>
    <w:rsid w:val="00AD2A79"/>
    <w:rsid w:val="00AD2E51"/>
    <w:rsid w:val="00AD3113"/>
    <w:rsid w:val="00AD3209"/>
    <w:rsid w:val="00AD3536"/>
    <w:rsid w:val="00AD3DD4"/>
    <w:rsid w:val="00AD4081"/>
    <w:rsid w:val="00AD428B"/>
    <w:rsid w:val="00AD43FD"/>
    <w:rsid w:val="00AD4643"/>
    <w:rsid w:val="00AD4A67"/>
    <w:rsid w:val="00AD652E"/>
    <w:rsid w:val="00AD68B5"/>
    <w:rsid w:val="00AD71D8"/>
    <w:rsid w:val="00AD73C4"/>
    <w:rsid w:val="00AD7DAA"/>
    <w:rsid w:val="00AE0644"/>
    <w:rsid w:val="00AE073B"/>
    <w:rsid w:val="00AE0AFF"/>
    <w:rsid w:val="00AE0E2A"/>
    <w:rsid w:val="00AE0F89"/>
    <w:rsid w:val="00AE13BF"/>
    <w:rsid w:val="00AE140A"/>
    <w:rsid w:val="00AE15D5"/>
    <w:rsid w:val="00AE16BB"/>
    <w:rsid w:val="00AE2011"/>
    <w:rsid w:val="00AE2766"/>
    <w:rsid w:val="00AE2DB3"/>
    <w:rsid w:val="00AE3144"/>
    <w:rsid w:val="00AE3262"/>
    <w:rsid w:val="00AE3405"/>
    <w:rsid w:val="00AE373B"/>
    <w:rsid w:val="00AE3845"/>
    <w:rsid w:val="00AE42B8"/>
    <w:rsid w:val="00AE4432"/>
    <w:rsid w:val="00AE4537"/>
    <w:rsid w:val="00AE483E"/>
    <w:rsid w:val="00AE4960"/>
    <w:rsid w:val="00AE4CAD"/>
    <w:rsid w:val="00AE4E7E"/>
    <w:rsid w:val="00AE5003"/>
    <w:rsid w:val="00AE5ADE"/>
    <w:rsid w:val="00AE5F59"/>
    <w:rsid w:val="00AE63B7"/>
    <w:rsid w:val="00AE6594"/>
    <w:rsid w:val="00AE65DB"/>
    <w:rsid w:val="00AE6A7F"/>
    <w:rsid w:val="00AE78E7"/>
    <w:rsid w:val="00AE7964"/>
    <w:rsid w:val="00AE7A22"/>
    <w:rsid w:val="00AE7BDD"/>
    <w:rsid w:val="00AF008B"/>
    <w:rsid w:val="00AF03FD"/>
    <w:rsid w:val="00AF0450"/>
    <w:rsid w:val="00AF0A36"/>
    <w:rsid w:val="00AF0FEB"/>
    <w:rsid w:val="00AF2302"/>
    <w:rsid w:val="00AF26E6"/>
    <w:rsid w:val="00AF27A2"/>
    <w:rsid w:val="00AF3068"/>
    <w:rsid w:val="00AF3592"/>
    <w:rsid w:val="00AF3C04"/>
    <w:rsid w:val="00AF3C61"/>
    <w:rsid w:val="00AF3E66"/>
    <w:rsid w:val="00AF41CF"/>
    <w:rsid w:val="00AF42C1"/>
    <w:rsid w:val="00AF4B08"/>
    <w:rsid w:val="00AF549D"/>
    <w:rsid w:val="00AF56F3"/>
    <w:rsid w:val="00AF5DD3"/>
    <w:rsid w:val="00AF6043"/>
    <w:rsid w:val="00AF6111"/>
    <w:rsid w:val="00AF64D8"/>
    <w:rsid w:val="00AF6A31"/>
    <w:rsid w:val="00AF6A84"/>
    <w:rsid w:val="00AF6AFA"/>
    <w:rsid w:val="00AF6DE2"/>
    <w:rsid w:val="00AF74B3"/>
    <w:rsid w:val="00AF7C81"/>
    <w:rsid w:val="00B007D8"/>
    <w:rsid w:val="00B00949"/>
    <w:rsid w:val="00B00E06"/>
    <w:rsid w:val="00B0162E"/>
    <w:rsid w:val="00B016AD"/>
    <w:rsid w:val="00B01881"/>
    <w:rsid w:val="00B01911"/>
    <w:rsid w:val="00B0191D"/>
    <w:rsid w:val="00B0194B"/>
    <w:rsid w:val="00B01A98"/>
    <w:rsid w:val="00B01D89"/>
    <w:rsid w:val="00B01EBD"/>
    <w:rsid w:val="00B01EC5"/>
    <w:rsid w:val="00B02069"/>
    <w:rsid w:val="00B027C0"/>
    <w:rsid w:val="00B02D61"/>
    <w:rsid w:val="00B0303C"/>
    <w:rsid w:val="00B032C8"/>
    <w:rsid w:val="00B033CD"/>
    <w:rsid w:val="00B03CBB"/>
    <w:rsid w:val="00B04137"/>
    <w:rsid w:val="00B046B0"/>
    <w:rsid w:val="00B04BB2"/>
    <w:rsid w:val="00B05557"/>
    <w:rsid w:val="00B055C5"/>
    <w:rsid w:val="00B0574E"/>
    <w:rsid w:val="00B05A4B"/>
    <w:rsid w:val="00B05CB1"/>
    <w:rsid w:val="00B061D4"/>
    <w:rsid w:val="00B062E2"/>
    <w:rsid w:val="00B07194"/>
    <w:rsid w:val="00B07D41"/>
    <w:rsid w:val="00B10F77"/>
    <w:rsid w:val="00B11494"/>
    <w:rsid w:val="00B11999"/>
    <w:rsid w:val="00B11B1C"/>
    <w:rsid w:val="00B11D6F"/>
    <w:rsid w:val="00B12C5C"/>
    <w:rsid w:val="00B12D24"/>
    <w:rsid w:val="00B12D3B"/>
    <w:rsid w:val="00B12EE2"/>
    <w:rsid w:val="00B1309C"/>
    <w:rsid w:val="00B135CC"/>
    <w:rsid w:val="00B13950"/>
    <w:rsid w:val="00B13A37"/>
    <w:rsid w:val="00B13C17"/>
    <w:rsid w:val="00B14038"/>
    <w:rsid w:val="00B14F56"/>
    <w:rsid w:val="00B154E7"/>
    <w:rsid w:val="00B157FD"/>
    <w:rsid w:val="00B159F2"/>
    <w:rsid w:val="00B15A21"/>
    <w:rsid w:val="00B1665A"/>
    <w:rsid w:val="00B16709"/>
    <w:rsid w:val="00B16C2E"/>
    <w:rsid w:val="00B16C96"/>
    <w:rsid w:val="00B20023"/>
    <w:rsid w:val="00B2013D"/>
    <w:rsid w:val="00B20285"/>
    <w:rsid w:val="00B202C3"/>
    <w:rsid w:val="00B20A96"/>
    <w:rsid w:val="00B20BF8"/>
    <w:rsid w:val="00B2105C"/>
    <w:rsid w:val="00B216A3"/>
    <w:rsid w:val="00B218C7"/>
    <w:rsid w:val="00B21E6A"/>
    <w:rsid w:val="00B21F54"/>
    <w:rsid w:val="00B2209A"/>
    <w:rsid w:val="00B22654"/>
    <w:rsid w:val="00B22D09"/>
    <w:rsid w:val="00B23301"/>
    <w:rsid w:val="00B23508"/>
    <w:rsid w:val="00B2416A"/>
    <w:rsid w:val="00B2420A"/>
    <w:rsid w:val="00B24FFD"/>
    <w:rsid w:val="00B2502D"/>
    <w:rsid w:val="00B25089"/>
    <w:rsid w:val="00B256C5"/>
    <w:rsid w:val="00B259A6"/>
    <w:rsid w:val="00B26C37"/>
    <w:rsid w:val="00B275F5"/>
    <w:rsid w:val="00B27660"/>
    <w:rsid w:val="00B27913"/>
    <w:rsid w:val="00B30341"/>
    <w:rsid w:val="00B30771"/>
    <w:rsid w:val="00B312B8"/>
    <w:rsid w:val="00B31504"/>
    <w:rsid w:val="00B32434"/>
    <w:rsid w:val="00B32564"/>
    <w:rsid w:val="00B3355B"/>
    <w:rsid w:val="00B3393C"/>
    <w:rsid w:val="00B339FE"/>
    <w:rsid w:val="00B34375"/>
    <w:rsid w:val="00B345BD"/>
    <w:rsid w:val="00B3469F"/>
    <w:rsid w:val="00B34DD6"/>
    <w:rsid w:val="00B35004"/>
    <w:rsid w:val="00B35103"/>
    <w:rsid w:val="00B35C65"/>
    <w:rsid w:val="00B360BC"/>
    <w:rsid w:val="00B36338"/>
    <w:rsid w:val="00B370DC"/>
    <w:rsid w:val="00B375F5"/>
    <w:rsid w:val="00B400C0"/>
    <w:rsid w:val="00B401EC"/>
    <w:rsid w:val="00B40802"/>
    <w:rsid w:val="00B40C5A"/>
    <w:rsid w:val="00B411A7"/>
    <w:rsid w:val="00B4123D"/>
    <w:rsid w:val="00B423AC"/>
    <w:rsid w:val="00B4243E"/>
    <w:rsid w:val="00B424B1"/>
    <w:rsid w:val="00B42CBF"/>
    <w:rsid w:val="00B42F52"/>
    <w:rsid w:val="00B43089"/>
    <w:rsid w:val="00B43EE1"/>
    <w:rsid w:val="00B44598"/>
    <w:rsid w:val="00B44C80"/>
    <w:rsid w:val="00B44CFD"/>
    <w:rsid w:val="00B44D9B"/>
    <w:rsid w:val="00B44DD2"/>
    <w:rsid w:val="00B45002"/>
    <w:rsid w:val="00B453C1"/>
    <w:rsid w:val="00B45619"/>
    <w:rsid w:val="00B459C4"/>
    <w:rsid w:val="00B45ED9"/>
    <w:rsid w:val="00B46578"/>
    <w:rsid w:val="00B46DFE"/>
    <w:rsid w:val="00B4740D"/>
    <w:rsid w:val="00B478B9"/>
    <w:rsid w:val="00B47C7A"/>
    <w:rsid w:val="00B47D10"/>
    <w:rsid w:val="00B500AA"/>
    <w:rsid w:val="00B50837"/>
    <w:rsid w:val="00B5154A"/>
    <w:rsid w:val="00B51971"/>
    <w:rsid w:val="00B51B89"/>
    <w:rsid w:val="00B51CF5"/>
    <w:rsid w:val="00B520B2"/>
    <w:rsid w:val="00B52657"/>
    <w:rsid w:val="00B5394B"/>
    <w:rsid w:val="00B53AA7"/>
    <w:rsid w:val="00B53D64"/>
    <w:rsid w:val="00B53E25"/>
    <w:rsid w:val="00B542CC"/>
    <w:rsid w:val="00B55D9F"/>
    <w:rsid w:val="00B55F28"/>
    <w:rsid w:val="00B56504"/>
    <w:rsid w:val="00B5656B"/>
    <w:rsid w:val="00B5659F"/>
    <w:rsid w:val="00B568C7"/>
    <w:rsid w:val="00B56917"/>
    <w:rsid w:val="00B569B4"/>
    <w:rsid w:val="00B57A13"/>
    <w:rsid w:val="00B57FFD"/>
    <w:rsid w:val="00B60395"/>
    <w:rsid w:val="00B6093B"/>
    <w:rsid w:val="00B60FEC"/>
    <w:rsid w:val="00B6127F"/>
    <w:rsid w:val="00B61C00"/>
    <w:rsid w:val="00B62371"/>
    <w:rsid w:val="00B627F6"/>
    <w:rsid w:val="00B62978"/>
    <w:rsid w:val="00B62D64"/>
    <w:rsid w:val="00B62F61"/>
    <w:rsid w:val="00B63A17"/>
    <w:rsid w:val="00B64247"/>
    <w:rsid w:val="00B647A5"/>
    <w:rsid w:val="00B64805"/>
    <w:rsid w:val="00B64B13"/>
    <w:rsid w:val="00B64DC5"/>
    <w:rsid w:val="00B64E1E"/>
    <w:rsid w:val="00B64F96"/>
    <w:rsid w:val="00B65147"/>
    <w:rsid w:val="00B65300"/>
    <w:rsid w:val="00B65B25"/>
    <w:rsid w:val="00B66250"/>
    <w:rsid w:val="00B668D2"/>
    <w:rsid w:val="00B66AE1"/>
    <w:rsid w:val="00B67078"/>
    <w:rsid w:val="00B670C5"/>
    <w:rsid w:val="00B700C2"/>
    <w:rsid w:val="00B7014B"/>
    <w:rsid w:val="00B719D6"/>
    <w:rsid w:val="00B71DD0"/>
    <w:rsid w:val="00B71DE7"/>
    <w:rsid w:val="00B72248"/>
    <w:rsid w:val="00B7275A"/>
    <w:rsid w:val="00B72791"/>
    <w:rsid w:val="00B727BF"/>
    <w:rsid w:val="00B73279"/>
    <w:rsid w:val="00B73906"/>
    <w:rsid w:val="00B739CA"/>
    <w:rsid w:val="00B73A9E"/>
    <w:rsid w:val="00B73FC2"/>
    <w:rsid w:val="00B74D1A"/>
    <w:rsid w:val="00B75B82"/>
    <w:rsid w:val="00B760A0"/>
    <w:rsid w:val="00B7618E"/>
    <w:rsid w:val="00B76705"/>
    <w:rsid w:val="00B76EE6"/>
    <w:rsid w:val="00B77619"/>
    <w:rsid w:val="00B77F6C"/>
    <w:rsid w:val="00B80256"/>
    <w:rsid w:val="00B8036E"/>
    <w:rsid w:val="00B808EB"/>
    <w:rsid w:val="00B80BD3"/>
    <w:rsid w:val="00B814CD"/>
    <w:rsid w:val="00B81649"/>
    <w:rsid w:val="00B81747"/>
    <w:rsid w:val="00B81769"/>
    <w:rsid w:val="00B81968"/>
    <w:rsid w:val="00B820D1"/>
    <w:rsid w:val="00B8233D"/>
    <w:rsid w:val="00B82C18"/>
    <w:rsid w:val="00B832BB"/>
    <w:rsid w:val="00B835FC"/>
    <w:rsid w:val="00B8454B"/>
    <w:rsid w:val="00B8607C"/>
    <w:rsid w:val="00B86203"/>
    <w:rsid w:val="00B862A6"/>
    <w:rsid w:val="00B86632"/>
    <w:rsid w:val="00B8676E"/>
    <w:rsid w:val="00B86777"/>
    <w:rsid w:val="00B8697D"/>
    <w:rsid w:val="00B87128"/>
    <w:rsid w:val="00B87822"/>
    <w:rsid w:val="00B87A18"/>
    <w:rsid w:val="00B900A6"/>
    <w:rsid w:val="00B9071D"/>
    <w:rsid w:val="00B90F50"/>
    <w:rsid w:val="00B91BDA"/>
    <w:rsid w:val="00B91CB1"/>
    <w:rsid w:val="00B91DF3"/>
    <w:rsid w:val="00B91E97"/>
    <w:rsid w:val="00B91FE2"/>
    <w:rsid w:val="00B920B4"/>
    <w:rsid w:val="00B92C09"/>
    <w:rsid w:val="00B92EBF"/>
    <w:rsid w:val="00B932A3"/>
    <w:rsid w:val="00B93702"/>
    <w:rsid w:val="00B9386F"/>
    <w:rsid w:val="00B939B7"/>
    <w:rsid w:val="00B93BEC"/>
    <w:rsid w:val="00B9408C"/>
    <w:rsid w:val="00B941E8"/>
    <w:rsid w:val="00B942F7"/>
    <w:rsid w:val="00B953DE"/>
    <w:rsid w:val="00B954F1"/>
    <w:rsid w:val="00B959B2"/>
    <w:rsid w:val="00B959D0"/>
    <w:rsid w:val="00B959E9"/>
    <w:rsid w:val="00B95B28"/>
    <w:rsid w:val="00B95E56"/>
    <w:rsid w:val="00B95ECD"/>
    <w:rsid w:val="00B961CC"/>
    <w:rsid w:val="00B967F4"/>
    <w:rsid w:val="00B96955"/>
    <w:rsid w:val="00B96D33"/>
    <w:rsid w:val="00B97427"/>
    <w:rsid w:val="00B97594"/>
    <w:rsid w:val="00B976EB"/>
    <w:rsid w:val="00B97B0F"/>
    <w:rsid w:val="00B97B25"/>
    <w:rsid w:val="00B97C33"/>
    <w:rsid w:val="00BA034D"/>
    <w:rsid w:val="00BA0738"/>
    <w:rsid w:val="00BA0F54"/>
    <w:rsid w:val="00BA0FC2"/>
    <w:rsid w:val="00BA1AAD"/>
    <w:rsid w:val="00BA21CF"/>
    <w:rsid w:val="00BA2696"/>
    <w:rsid w:val="00BA2D73"/>
    <w:rsid w:val="00BA35A8"/>
    <w:rsid w:val="00BA39DC"/>
    <w:rsid w:val="00BA3A69"/>
    <w:rsid w:val="00BA4182"/>
    <w:rsid w:val="00BA4338"/>
    <w:rsid w:val="00BA458B"/>
    <w:rsid w:val="00BA4968"/>
    <w:rsid w:val="00BA4A96"/>
    <w:rsid w:val="00BA4EE8"/>
    <w:rsid w:val="00BA534A"/>
    <w:rsid w:val="00BA5560"/>
    <w:rsid w:val="00BA5629"/>
    <w:rsid w:val="00BA5A83"/>
    <w:rsid w:val="00BA67A4"/>
    <w:rsid w:val="00BA6FCF"/>
    <w:rsid w:val="00BA72C8"/>
    <w:rsid w:val="00BA773B"/>
    <w:rsid w:val="00BB054C"/>
    <w:rsid w:val="00BB057B"/>
    <w:rsid w:val="00BB0783"/>
    <w:rsid w:val="00BB07BC"/>
    <w:rsid w:val="00BB07C5"/>
    <w:rsid w:val="00BB141B"/>
    <w:rsid w:val="00BB1519"/>
    <w:rsid w:val="00BB16F3"/>
    <w:rsid w:val="00BB1A1D"/>
    <w:rsid w:val="00BB1AA8"/>
    <w:rsid w:val="00BB1C0F"/>
    <w:rsid w:val="00BB1F02"/>
    <w:rsid w:val="00BB2403"/>
    <w:rsid w:val="00BB2581"/>
    <w:rsid w:val="00BB2B96"/>
    <w:rsid w:val="00BB2C9C"/>
    <w:rsid w:val="00BB3173"/>
    <w:rsid w:val="00BB327C"/>
    <w:rsid w:val="00BB363C"/>
    <w:rsid w:val="00BB36E6"/>
    <w:rsid w:val="00BB3ECD"/>
    <w:rsid w:val="00BB4334"/>
    <w:rsid w:val="00BB484B"/>
    <w:rsid w:val="00BB48E2"/>
    <w:rsid w:val="00BB4C96"/>
    <w:rsid w:val="00BB4CF0"/>
    <w:rsid w:val="00BB56C7"/>
    <w:rsid w:val="00BB5888"/>
    <w:rsid w:val="00BB58AE"/>
    <w:rsid w:val="00BB5FD0"/>
    <w:rsid w:val="00BB6AC9"/>
    <w:rsid w:val="00BB6D91"/>
    <w:rsid w:val="00BB710B"/>
    <w:rsid w:val="00BB7456"/>
    <w:rsid w:val="00BB7497"/>
    <w:rsid w:val="00BB7B6C"/>
    <w:rsid w:val="00BC04A2"/>
    <w:rsid w:val="00BC057E"/>
    <w:rsid w:val="00BC0649"/>
    <w:rsid w:val="00BC065E"/>
    <w:rsid w:val="00BC1394"/>
    <w:rsid w:val="00BC14EC"/>
    <w:rsid w:val="00BC1C55"/>
    <w:rsid w:val="00BC1FAA"/>
    <w:rsid w:val="00BC202B"/>
    <w:rsid w:val="00BC215A"/>
    <w:rsid w:val="00BC2934"/>
    <w:rsid w:val="00BC2D06"/>
    <w:rsid w:val="00BC32E3"/>
    <w:rsid w:val="00BC383A"/>
    <w:rsid w:val="00BC3B6A"/>
    <w:rsid w:val="00BC3EE0"/>
    <w:rsid w:val="00BC42CE"/>
    <w:rsid w:val="00BC472C"/>
    <w:rsid w:val="00BC48EE"/>
    <w:rsid w:val="00BC4914"/>
    <w:rsid w:val="00BC4E2E"/>
    <w:rsid w:val="00BC4F37"/>
    <w:rsid w:val="00BC4F8C"/>
    <w:rsid w:val="00BC527C"/>
    <w:rsid w:val="00BC53B2"/>
    <w:rsid w:val="00BC5486"/>
    <w:rsid w:val="00BC558E"/>
    <w:rsid w:val="00BC5B69"/>
    <w:rsid w:val="00BC651F"/>
    <w:rsid w:val="00BC6BAB"/>
    <w:rsid w:val="00BC6D35"/>
    <w:rsid w:val="00BC7095"/>
    <w:rsid w:val="00BC7604"/>
    <w:rsid w:val="00BC7B88"/>
    <w:rsid w:val="00BD0357"/>
    <w:rsid w:val="00BD121A"/>
    <w:rsid w:val="00BD18E2"/>
    <w:rsid w:val="00BD1AF9"/>
    <w:rsid w:val="00BD1E15"/>
    <w:rsid w:val="00BD26AA"/>
    <w:rsid w:val="00BD3186"/>
    <w:rsid w:val="00BD31EC"/>
    <w:rsid w:val="00BD33CC"/>
    <w:rsid w:val="00BD37AB"/>
    <w:rsid w:val="00BD3CF0"/>
    <w:rsid w:val="00BD43AF"/>
    <w:rsid w:val="00BD4783"/>
    <w:rsid w:val="00BD4C53"/>
    <w:rsid w:val="00BD4E66"/>
    <w:rsid w:val="00BD5121"/>
    <w:rsid w:val="00BD544F"/>
    <w:rsid w:val="00BD58C4"/>
    <w:rsid w:val="00BD5EE7"/>
    <w:rsid w:val="00BD6F2C"/>
    <w:rsid w:val="00BD6F6D"/>
    <w:rsid w:val="00BD72BD"/>
    <w:rsid w:val="00BD72F3"/>
    <w:rsid w:val="00BD7578"/>
    <w:rsid w:val="00BD75E5"/>
    <w:rsid w:val="00BD767F"/>
    <w:rsid w:val="00BD79A9"/>
    <w:rsid w:val="00BD7A99"/>
    <w:rsid w:val="00BD7C5B"/>
    <w:rsid w:val="00BE00E4"/>
    <w:rsid w:val="00BE015C"/>
    <w:rsid w:val="00BE01FB"/>
    <w:rsid w:val="00BE027E"/>
    <w:rsid w:val="00BE02B4"/>
    <w:rsid w:val="00BE0DDC"/>
    <w:rsid w:val="00BE1F3D"/>
    <w:rsid w:val="00BE210C"/>
    <w:rsid w:val="00BE2116"/>
    <w:rsid w:val="00BE2337"/>
    <w:rsid w:val="00BE259B"/>
    <w:rsid w:val="00BE25B2"/>
    <w:rsid w:val="00BE2628"/>
    <w:rsid w:val="00BE2723"/>
    <w:rsid w:val="00BE27B5"/>
    <w:rsid w:val="00BE2AE8"/>
    <w:rsid w:val="00BE3BD4"/>
    <w:rsid w:val="00BE44BE"/>
    <w:rsid w:val="00BE4B7D"/>
    <w:rsid w:val="00BE4CBF"/>
    <w:rsid w:val="00BE5EC5"/>
    <w:rsid w:val="00BE60DB"/>
    <w:rsid w:val="00BE650A"/>
    <w:rsid w:val="00BE667D"/>
    <w:rsid w:val="00BE700C"/>
    <w:rsid w:val="00BE7034"/>
    <w:rsid w:val="00BE7694"/>
    <w:rsid w:val="00BE7942"/>
    <w:rsid w:val="00BE7AE8"/>
    <w:rsid w:val="00BE7E57"/>
    <w:rsid w:val="00BF02A9"/>
    <w:rsid w:val="00BF0CAE"/>
    <w:rsid w:val="00BF0CCA"/>
    <w:rsid w:val="00BF0FE9"/>
    <w:rsid w:val="00BF1540"/>
    <w:rsid w:val="00BF1A0B"/>
    <w:rsid w:val="00BF1C36"/>
    <w:rsid w:val="00BF236B"/>
    <w:rsid w:val="00BF28CE"/>
    <w:rsid w:val="00BF2C5F"/>
    <w:rsid w:val="00BF2EE8"/>
    <w:rsid w:val="00BF31AE"/>
    <w:rsid w:val="00BF31B0"/>
    <w:rsid w:val="00BF3462"/>
    <w:rsid w:val="00BF3690"/>
    <w:rsid w:val="00BF3886"/>
    <w:rsid w:val="00BF3A24"/>
    <w:rsid w:val="00BF3AF6"/>
    <w:rsid w:val="00BF3CC7"/>
    <w:rsid w:val="00BF44DD"/>
    <w:rsid w:val="00BF44F1"/>
    <w:rsid w:val="00BF4877"/>
    <w:rsid w:val="00BF5078"/>
    <w:rsid w:val="00BF5565"/>
    <w:rsid w:val="00BF57CA"/>
    <w:rsid w:val="00BF5B2D"/>
    <w:rsid w:val="00BF657A"/>
    <w:rsid w:val="00BF686C"/>
    <w:rsid w:val="00BF6948"/>
    <w:rsid w:val="00BF6E0F"/>
    <w:rsid w:val="00BF6F9B"/>
    <w:rsid w:val="00BF7219"/>
    <w:rsid w:val="00BF7538"/>
    <w:rsid w:val="00BF7FF4"/>
    <w:rsid w:val="00C00806"/>
    <w:rsid w:val="00C0082B"/>
    <w:rsid w:val="00C00B08"/>
    <w:rsid w:val="00C00C2F"/>
    <w:rsid w:val="00C01C42"/>
    <w:rsid w:val="00C026AF"/>
    <w:rsid w:val="00C02796"/>
    <w:rsid w:val="00C028DD"/>
    <w:rsid w:val="00C02E76"/>
    <w:rsid w:val="00C033D4"/>
    <w:rsid w:val="00C03694"/>
    <w:rsid w:val="00C03BA5"/>
    <w:rsid w:val="00C03D0A"/>
    <w:rsid w:val="00C04045"/>
    <w:rsid w:val="00C040F8"/>
    <w:rsid w:val="00C042E9"/>
    <w:rsid w:val="00C045FD"/>
    <w:rsid w:val="00C04732"/>
    <w:rsid w:val="00C04A35"/>
    <w:rsid w:val="00C055EA"/>
    <w:rsid w:val="00C0581E"/>
    <w:rsid w:val="00C06B89"/>
    <w:rsid w:val="00C06F02"/>
    <w:rsid w:val="00C07826"/>
    <w:rsid w:val="00C078EB"/>
    <w:rsid w:val="00C07B53"/>
    <w:rsid w:val="00C10188"/>
    <w:rsid w:val="00C10BDB"/>
    <w:rsid w:val="00C10FE0"/>
    <w:rsid w:val="00C11281"/>
    <w:rsid w:val="00C11521"/>
    <w:rsid w:val="00C11B6F"/>
    <w:rsid w:val="00C11F61"/>
    <w:rsid w:val="00C12536"/>
    <w:rsid w:val="00C125BD"/>
    <w:rsid w:val="00C1353F"/>
    <w:rsid w:val="00C137CD"/>
    <w:rsid w:val="00C13FC5"/>
    <w:rsid w:val="00C14218"/>
    <w:rsid w:val="00C1524C"/>
    <w:rsid w:val="00C156E7"/>
    <w:rsid w:val="00C1588F"/>
    <w:rsid w:val="00C1651D"/>
    <w:rsid w:val="00C16B84"/>
    <w:rsid w:val="00C16C6D"/>
    <w:rsid w:val="00C17A33"/>
    <w:rsid w:val="00C17D01"/>
    <w:rsid w:val="00C17FED"/>
    <w:rsid w:val="00C204CC"/>
    <w:rsid w:val="00C20874"/>
    <w:rsid w:val="00C209CD"/>
    <w:rsid w:val="00C20D50"/>
    <w:rsid w:val="00C210A6"/>
    <w:rsid w:val="00C2120A"/>
    <w:rsid w:val="00C21246"/>
    <w:rsid w:val="00C2175A"/>
    <w:rsid w:val="00C2184C"/>
    <w:rsid w:val="00C21FBD"/>
    <w:rsid w:val="00C22084"/>
    <w:rsid w:val="00C223DB"/>
    <w:rsid w:val="00C228F6"/>
    <w:rsid w:val="00C22B3C"/>
    <w:rsid w:val="00C22BD8"/>
    <w:rsid w:val="00C22CE3"/>
    <w:rsid w:val="00C22E4F"/>
    <w:rsid w:val="00C23155"/>
    <w:rsid w:val="00C234C1"/>
    <w:rsid w:val="00C23593"/>
    <w:rsid w:val="00C23B61"/>
    <w:rsid w:val="00C24848"/>
    <w:rsid w:val="00C248E5"/>
    <w:rsid w:val="00C25252"/>
    <w:rsid w:val="00C25493"/>
    <w:rsid w:val="00C261BD"/>
    <w:rsid w:val="00C2658D"/>
    <w:rsid w:val="00C26753"/>
    <w:rsid w:val="00C27F7C"/>
    <w:rsid w:val="00C3006B"/>
    <w:rsid w:val="00C3043B"/>
    <w:rsid w:val="00C3080A"/>
    <w:rsid w:val="00C30BBB"/>
    <w:rsid w:val="00C31190"/>
    <w:rsid w:val="00C31513"/>
    <w:rsid w:val="00C3151D"/>
    <w:rsid w:val="00C31540"/>
    <w:rsid w:val="00C31D36"/>
    <w:rsid w:val="00C320FF"/>
    <w:rsid w:val="00C32B6E"/>
    <w:rsid w:val="00C33095"/>
    <w:rsid w:val="00C332E0"/>
    <w:rsid w:val="00C33C21"/>
    <w:rsid w:val="00C33EFF"/>
    <w:rsid w:val="00C34295"/>
    <w:rsid w:val="00C34646"/>
    <w:rsid w:val="00C34F88"/>
    <w:rsid w:val="00C34FCA"/>
    <w:rsid w:val="00C357B0"/>
    <w:rsid w:val="00C3588E"/>
    <w:rsid w:val="00C35932"/>
    <w:rsid w:val="00C35C10"/>
    <w:rsid w:val="00C3603C"/>
    <w:rsid w:val="00C36040"/>
    <w:rsid w:val="00C36708"/>
    <w:rsid w:val="00C36BA3"/>
    <w:rsid w:val="00C36EEE"/>
    <w:rsid w:val="00C36EFC"/>
    <w:rsid w:val="00C37359"/>
    <w:rsid w:val="00C37A3F"/>
    <w:rsid w:val="00C37C60"/>
    <w:rsid w:val="00C37F96"/>
    <w:rsid w:val="00C4014F"/>
    <w:rsid w:val="00C40571"/>
    <w:rsid w:val="00C410B9"/>
    <w:rsid w:val="00C4115B"/>
    <w:rsid w:val="00C418B7"/>
    <w:rsid w:val="00C426BD"/>
    <w:rsid w:val="00C42823"/>
    <w:rsid w:val="00C42B50"/>
    <w:rsid w:val="00C42FE8"/>
    <w:rsid w:val="00C433CF"/>
    <w:rsid w:val="00C43714"/>
    <w:rsid w:val="00C439BF"/>
    <w:rsid w:val="00C43AA2"/>
    <w:rsid w:val="00C440A6"/>
    <w:rsid w:val="00C44482"/>
    <w:rsid w:val="00C44522"/>
    <w:rsid w:val="00C44810"/>
    <w:rsid w:val="00C44E4A"/>
    <w:rsid w:val="00C45B6F"/>
    <w:rsid w:val="00C46A1A"/>
    <w:rsid w:val="00C46BC8"/>
    <w:rsid w:val="00C477FB"/>
    <w:rsid w:val="00C505C5"/>
    <w:rsid w:val="00C50711"/>
    <w:rsid w:val="00C507C1"/>
    <w:rsid w:val="00C50E67"/>
    <w:rsid w:val="00C5125C"/>
    <w:rsid w:val="00C513AA"/>
    <w:rsid w:val="00C5168B"/>
    <w:rsid w:val="00C51998"/>
    <w:rsid w:val="00C519FB"/>
    <w:rsid w:val="00C51A2D"/>
    <w:rsid w:val="00C51A3B"/>
    <w:rsid w:val="00C5230A"/>
    <w:rsid w:val="00C52583"/>
    <w:rsid w:val="00C52E28"/>
    <w:rsid w:val="00C52F06"/>
    <w:rsid w:val="00C53B05"/>
    <w:rsid w:val="00C53BE3"/>
    <w:rsid w:val="00C540B5"/>
    <w:rsid w:val="00C54667"/>
    <w:rsid w:val="00C547F7"/>
    <w:rsid w:val="00C54929"/>
    <w:rsid w:val="00C55A44"/>
    <w:rsid w:val="00C566C5"/>
    <w:rsid w:val="00C57374"/>
    <w:rsid w:val="00C57480"/>
    <w:rsid w:val="00C5749B"/>
    <w:rsid w:val="00C575B0"/>
    <w:rsid w:val="00C57608"/>
    <w:rsid w:val="00C57749"/>
    <w:rsid w:val="00C57A5B"/>
    <w:rsid w:val="00C57A62"/>
    <w:rsid w:val="00C57AAE"/>
    <w:rsid w:val="00C57D0E"/>
    <w:rsid w:val="00C57FFA"/>
    <w:rsid w:val="00C6005D"/>
    <w:rsid w:val="00C604A5"/>
    <w:rsid w:val="00C60C5E"/>
    <w:rsid w:val="00C60EA5"/>
    <w:rsid w:val="00C60F47"/>
    <w:rsid w:val="00C60F5C"/>
    <w:rsid w:val="00C6165D"/>
    <w:rsid w:val="00C617E0"/>
    <w:rsid w:val="00C6183A"/>
    <w:rsid w:val="00C61999"/>
    <w:rsid w:val="00C61C18"/>
    <w:rsid w:val="00C624AB"/>
    <w:rsid w:val="00C626C7"/>
    <w:rsid w:val="00C628A6"/>
    <w:rsid w:val="00C629C1"/>
    <w:rsid w:val="00C62A29"/>
    <w:rsid w:val="00C6345F"/>
    <w:rsid w:val="00C63C33"/>
    <w:rsid w:val="00C63EB3"/>
    <w:rsid w:val="00C64282"/>
    <w:rsid w:val="00C646A4"/>
    <w:rsid w:val="00C65176"/>
    <w:rsid w:val="00C6648C"/>
    <w:rsid w:val="00C6654E"/>
    <w:rsid w:val="00C66A22"/>
    <w:rsid w:val="00C66F10"/>
    <w:rsid w:val="00C67DD2"/>
    <w:rsid w:val="00C7045F"/>
    <w:rsid w:val="00C70836"/>
    <w:rsid w:val="00C70A44"/>
    <w:rsid w:val="00C70F10"/>
    <w:rsid w:val="00C72579"/>
    <w:rsid w:val="00C72AD7"/>
    <w:rsid w:val="00C72ED8"/>
    <w:rsid w:val="00C7369D"/>
    <w:rsid w:val="00C73952"/>
    <w:rsid w:val="00C73A71"/>
    <w:rsid w:val="00C74007"/>
    <w:rsid w:val="00C741E4"/>
    <w:rsid w:val="00C745C7"/>
    <w:rsid w:val="00C746EE"/>
    <w:rsid w:val="00C74708"/>
    <w:rsid w:val="00C7549C"/>
    <w:rsid w:val="00C755FD"/>
    <w:rsid w:val="00C75C6C"/>
    <w:rsid w:val="00C762B8"/>
    <w:rsid w:val="00C765A3"/>
    <w:rsid w:val="00C76B5A"/>
    <w:rsid w:val="00C77619"/>
    <w:rsid w:val="00C776E6"/>
    <w:rsid w:val="00C77F78"/>
    <w:rsid w:val="00C77F8C"/>
    <w:rsid w:val="00C8006B"/>
    <w:rsid w:val="00C8027D"/>
    <w:rsid w:val="00C80C9C"/>
    <w:rsid w:val="00C8162B"/>
    <w:rsid w:val="00C8170A"/>
    <w:rsid w:val="00C81845"/>
    <w:rsid w:val="00C81A4D"/>
    <w:rsid w:val="00C81FC8"/>
    <w:rsid w:val="00C8233B"/>
    <w:rsid w:val="00C823B6"/>
    <w:rsid w:val="00C828AF"/>
    <w:rsid w:val="00C828F9"/>
    <w:rsid w:val="00C82AA2"/>
    <w:rsid w:val="00C82CA6"/>
    <w:rsid w:val="00C82DEB"/>
    <w:rsid w:val="00C83011"/>
    <w:rsid w:val="00C83791"/>
    <w:rsid w:val="00C83878"/>
    <w:rsid w:val="00C83C85"/>
    <w:rsid w:val="00C83D1B"/>
    <w:rsid w:val="00C84328"/>
    <w:rsid w:val="00C84604"/>
    <w:rsid w:val="00C84A7A"/>
    <w:rsid w:val="00C84E3E"/>
    <w:rsid w:val="00C85227"/>
    <w:rsid w:val="00C855C5"/>
    <w:rsid w:val="00C858BD"/>
    <w:rsid w:val="00C859AB"/>
    <w:rsid w:val="00C85DB5"/>
    <w:rsid w:val="00C85F62"/>
    <w:rsid w:val="00C85FAC"/>
    <w:rsid w:val="00C86997"/>
    <w:rsid w:val="00C869C1"/>
    <w:rsid w:val="00C86C53"/>
    <w:rsid w:val="00C870AC"/>
    <w:rsid w:val="00C8722A"/>
    <w:rsid w:val="00C878C0"/>
    <w:rsid w:val="00C90199"/>
    <w:rsid w:val="00C902BB"/>
    <w:rsid w:val="00C90437"/>
    <w:rsid w:val="00C9108F"/>
    <w:rsid w:val="00C911DD"/>
    <w:rsid w:val="00C91788"/>
    <w:rsid w:val="00C91939"/>
    <w:rsid w:val="00C91969"/>
    <w:rsid w:val="00C91A7E"/>
    <w:rsid w:val="00C91E5C"/>
    <w:rsid w:val="00C92323"/>
    <w:rsid w:val="00C92553"/>
    <w:rsid w:val="00C9297B"/>
    <w:rsid w:val="00C92AFA"/>
    <w:rsid w:val="00C933D5"/>
    <w:rsid w:val="00C934D7"/>
    <w:rsid w:val="00C93775"/>
    <w:rsid w:val="00C93A5B"/>
    <w:rsid w:val="00C93DE7"/>
    <w:rsid w:val="00C94046"/>
    <w:rsid w:val="00C94627"/>
    <w:rsid w:val="00C949F6"/>
    <w:rsid w:val="00C94CE8"/>
    <w:rsid w:val="00C94E75"/>
    <w:rsid w:val="00C94F65"/>
    <w:rsid w:val="00C94FD1"/>
    <w:rsid w:val="00C94FE5"/>
    <w:rsid w:val="00C9527E"/>
    <w:rsid w:val="00C958C4"/>
    <w:rsid w:val="00C95B96"/>
    <w:rsid w:val="00C95BE6"/>
    <w:rsid w:val="00C95CB6"/>
    <w:rsid w:val="00C95EFE"/>
    <w:rsid w:val="00C960D4"/>
    <w:rsid w:val="00C963DB"/>
    <w:rsid w:val="00C9653F"/>
    <w:rsid w:val="00C96543"/>
    <w:rsid w:val="00C96787"/>
    <w:rsid w:val="00C970A7"/>
    <w:rsid w:val="00C970E2"/>
    <w:rsid w:val="00C973BD"/>
    <w:rsid w:val="00C973E8"/>
    <w:rsid w:val="00C97682"/>
    <w:rsid w:val="00C97744"/>
    <w:rsid w:val="00C979AA"/>
    <w:rsid w:val="00C97CB8"/>
    <w:rsid w:val="00CA0373"/>
    <w:rsid w:val="00CA0556"/>
    <w:rsid w:val="00CA12B1"/>
    <w:rsid w:val="00CA152C"/>
    <w:rsid w:val="00CA15B9"/>
    <w:rsid w:val="00CA1836"/>
    <w:rsid w:val="00CA1890"/>
    <w:rsid w:val="00CA1B41"/>
    <w:rsid w:val="00CA1D0E"/>
    <w:rsid w:val="00CA2391"/>
    <w:rsid w:val="00CA243F"/>
    <w:rsid w:val="00CA2CB5"/>
    <w:rsid w:val="00CA3785"/>
    <w:rsid w:val="00CA3865"/>
    <w:rsid w:val="00CA3AC7"/>
    <w:rsid w:val="00CA3AE9"/>
    <w:rsid w:val="00CA45B1"/>
    <w:rsid w:val="00CA476C"/>
    <w:rsid w:val="00CA477C"/>
    <w:rsid w:val="00CA5071"/>
    <w:rsid w:val="00CA521C"/>
    <w:rsid w:val="00CA5343"/>
    <w:rsid w:val="00CA593C"/>
    <w:rsid w:val="00CA5F35"/>
    <w:rsid w:val="00CA5F3B"/>
    <w:rsid w:val="00CA5FBA"/>
    <w:rsid w:val="00CA61B0"/>
    <w:rsid w:val="00CA6CBD"/>
    <w:rsid w:val="00CA6D8C"/>
    <w:rsid w:val="00CA7564"/>
    <w:rsid w:val="00CA75A5"/>
    <w:rsid w:val="00CA7BD4"/>
    <w:rsid w:val="00CB06E3"/>
    <w:rsid w:val="00CB0BD0"/>
    <w:rsid w:val="00CB0D4E"/>
    <w:rsid w:val="00CB1964"/>
    <w:rsid w:val="00CB196E"/>
    <w:rsid w:val="00CB2224"/>
    <w:rsid w:val="00CB231D"/>
    <w:rsid w:val="00CB232A"/>
    <w:rsid w:val="00CB24B1"/>
    <w:rsid w:val="00CB2515"/>
    <w:rsid w:val="00CB33E6"/>
    <w:rsid w:val="00CB39D1"/>
    <w:rsid w:val="00CB3F2C"/>
    <w:rsid w:val="00CB488C"/>
    <w:rsid w:val="00CB5363"/>
    <w:rsid w:val="00CB5704"/>
    <w:rsid w:val="00CB5833"/>
    <w:rsid w:val="00CB5B65"/>
    <w:rsid w:val="00CB602E"/>
    <w:rsid w:val="00CB6163"/>
    <w:rsid w:val="00CB62C3"/>
    <w:rsid w:val="00CB62F3"/>
    <w:rsid w:val="00CB65B6"/>
    <w:rsid w:val="00CB6B29"/>
    <w:rsid w:val="00CB6EA7"/>
    <w:rsid w:val="00CB73D6"/>
    <w:rsid w:val="00CB73E1"/>
    <w:rsid w:val="00CB74BF"/>
    <w:rsid w:val="00CB7B9B"/>
    <w:rsid w:val="00CB7D2D"/>
    <w:rsid w:val="00CB7FA9"/>
    <w:rsid w:val="00CC0F76"/>
    <w:rsid w:val="00CC1183"/>
    <w:rsid w:val="00CC127A"/>
    <w:rsid w:val="00CC391B"/>
    <w:rsid w:val="00CC4DAC"/>
    <w:rsid w:val="00CC51C0"/>
    <w:rsid w:val="00CC5376"/>
    <w:rsid w:val="00CC618D"/>
    <w:rsid w:val="00CC63AB"/>
    <w:rsid w:val="00CC6823"/>
    <w:rsid w:val="00CC6EE1"/>
    <w:rsid w:val="00CC73F5"/>
    <w:rsid w:val="00CC7749"/>
    <w:rsid w:val="00CC788B"/>
    <w:rsid w:val="00CD05E5"/>
    <w:rsid w:val="00CD0F16"/>
    <w:rsid w:val="00CD105D"/>
    <w:rsid w:val="00CD146A"/>
    <w:rsid w:val="00CD16AD"/>
    <w:rsid w:val="00CD1932"/>
    <w:rsid w:val="00CD1A17"/>
    <w:rsid w:val="00CD1B0E"/>
    <w:rsid w:val="00CD2118"/>
    <w:rsid w:val="00CD21B9"/>
    <w:rsid w:val="00CD2254"/>
    <w:rsid w:val="00CD243A"/>
    <w:rsid w:val="00CD2A42"/>
    <w:rsid w:val="00CD2D6C"/>
    <w:rsid w:val="00CD3C9A"/>
    <w:rsid w:val="00CD3EDE"/>
    <w:rsid w:val="00CD438B"/>
    <w:rsid w:val="00CD463D"/>
    <w:rsid w:val="00CD4805"/>
    <w:rsid w:val="00CD5495"/>
    <w:rsid w:val="00CD57FA"/>
    <w:rsid w:val="00CD5A6C"/>
    <w:rsid w:val="00CD5DED"/>
    <w:rsid w:val="00CD6CE1"/>
    <w:rsid w:val="00CD6FAE"/>
    <w:rsid w:val="00CD736D"/>
    <w:rsid w:val="00CD7AC9"/>
    <w:rsid w:val="00CD7AFD"/>
    <w:rsid w:val="00CE00EE"/>
    <w:rsid w:val="00CE01AB"/>
    <w:rsid w:val="00CE02E1"/>
    <w:rsid w:val="00CE05CE"/>
    <w:rsid w:val="00CE099C"/>
    <w:rsid w:val="00CE0A5C"/>
    <w:rsid w:val="00CE0B19"/>
    <w:rsid w:val="00CE0F80"/>
    <w:rsid w:val="00CE122E"/>
    <w:rsid w:val="00CE138E"/>
    <w:rsid w:val="00CE19DE"/>
    <w:rsid w:val="00CE1C45"/>
    <w:rsid w:val="00CE30A1"/>
    <w:rsid w:val="00CE42B3"/>
    <w:rsid w:val="00CE47C5"/>
    <w:rsid w:val="00CE47C8"/>
    <w:rsid w:val="00CE54EB"/>
    <w:rsid w:val="00CE557A"/>
    <w:rsid w:val="00CE5792"/>
    <w:rsid w:val="00CE5839"/>
    <w:rsid w:val="00CE641A"/>
    <w:rsid w:val="00CE6623"/>
    <w:rsid w:val="00CE69E9"/>
    <w:rsid w:val="00CE6A62"/>
    <w:rsid w:val="00CE6B05"/>
    <w:rsid w:val="00CE6CB3"/>
    <w:rsid w:val="00CE6FC7"/>
    <w:rsid w:val="00CE7826"/>
    <w:rsid w:val="00CE79ED"/>
    <w:rsid w:val="00CE7CF0"/>
    <w:rsid w:val="00CE7FDD"/>
    <w:rsid w:val="00CF01AE"/>
    <w:rsid w:val="00CF03CF"/>
    <w:rsid w:val="00CF0B9D"/>
    <w:rsid w:val="00CF0DBF"/>
    <w:rsid w:val="00CF0EFD"/>
    <w:rsid w:val="00CF151E"/>
    <w:rsid w:val="00CF2513"/>
    <w:rsid w:val="00CF2619"/>
    <w:rsid w:val="00CF2849"/>
    <w:rsid w:val="00CF2900"/>
    <w:rsid w:val="00CF2B9C"/>
    <w:rsid w:val="00CF3520"/>
    <w:rsid w:val="00CF354E"/>
    <w:rsid w:val="00CF38FC"/>
    <w:rsid w:val="00CF3A73"/>
    <w:rsid w:val="00CF3D57"/>
    <w:rsid w:val="00CF4099"/>
    <w:rsid w:val="00CF450B"/>
    <w:rsid w:val="00CF4A94"/>
    <w:rsid w:val="00CF4BA1"/>
    <w:rsid w:val="00CF4D30"/>
    <w:rsid w:val="00CF4FB1"/>
    <w:rsid w:val="00CF5118"/>
    <w:rsid w:val="00CF53F0"/>
    <w:rsid w:val="00CF5A3E"/>
    <w:rsid w:val="00CF5A55"/>
    <w:rsid w:val="00CF5D3B"/>
    <w:rsid w:val="00CF5DD1"/>
    <w:rsid w:val="00CF6719"/>
    <w:rsid w:val="00CF717A"/>
    <w:rsid w:val="00CF73EE"/>
    <w:rsid w:val="00CF75BF"/>
    <w:rsid w:val="00CF7E85"/>
    <w:rsid w:val="00D009EC"/>
    <w:rsid w:val="00D00C8B"/>
    <w:rsid w:val="00D01469"/>
    <w:rsid w:val="00D01B37"/>
    <w:rsid w:val="00D02ADF"/>
    <w:rsid w:val="00D02B0C"/>
    <w:rsid w:val="00D03CBD"/>
    <w:rsid w:val="00D041B3"/>
    <w:rsid w:val="00D0425E"/>
    <w:rsid w:val="00D04295"/>
    <w:rsid w:val="00D0438C"/>
    <w:rsid w:val="00D04A16"/>
    <w:rsid w:val="00D0544E"/>
    <w:rsid w:val="00D055AD"/>
    <w:rsid w:val="00D05A33"/>
    <w:rsid w:val="00D05E94"/>
    <w:rsid w:val="00D05F42"/>
    <w:rsid w:val="00D061BA"/>
    <w:rsid w:val="00D06CAC"/>
    <w:rsid w:val="00D06CD9"/>
    <w:rsid w:val="00D06E0D"/>
    <w:rsid w:val="00D07531"/>
    <w:rsid w:val="00D0763D"/>
    <w:rsid w:val="00D07AC4"/>
    <w:rsid w:val="00D07C4E"/>
    <w:rsid w:val="00D10462"/>
    <w:rsid w:val="00D104FC"/>
    <w:rsid w:val="00D106BE"/>
    <w:rsid w:val="00D10E6C"/>
    <w:rsid w:val="00D11F95"/>
    <w:rsid w:val="00D12270"/>
    <w:rsid w:val="00D13583"/>
    <w:rsid w:val="00D14705"/>
    <w:rsid w:val="00D1473D"/>
    <w:rsid w:val="00D150F9"/>
    <w:rsid w:val="00D15DCC"/>
    <w:rsid w:val="00D1679C"/>
    <w:rsid w:val="00D16D0C"/>
    <w:rsid w:val="00D170CA"/>
    <w:rsid w:val="00D175D3"/>
    <w:rsid w:val="00D178BB"/>
    <w:rsid w:val="00D17BE1"/>
    <w:rsid w:val="00D17E6F"/>
    <w:rsid w:val="00D20519"/>
    <w:rsid w:val="00D20689"/>
    <w:rsid w:val="00D209F4"/>
    <w:rsid w:val="00D21193"/>
    <w:rsid w:val="00D21B70"/>
    <w:rsid w:val="00D21F60"/>
    <w:rsid w:val="00D221AC"/>
    <w:rsid w:val="00D223AB"/>
    <w:rsid w:val="00D22675"/>
    <w:rsid w:val="00D228AF"/>
    <w:rsid w:val="00D228B7"/>
    <w:rsid w:val="00D2360B"/>
    <w:rsid w:val="00D23CED"/>
    <w:rsid w:val="00D23E11"/>
    <w:rsid w:val="00D24937"/>
    <w:rsid w:val="00D259C9"/>
    <w:rsid w:val="00D25AD9"/>
    <w:rsid w:val="00D25F4D"/>
    <w:rsid w:val="00D2690D"/>
    <w:rsid w:val="00D271EA"/>
    <w:rsid w:val="00D27272"/>
    <w:rsid w:val="00D27339"/>
    <w:rsid w:val="00D27C1E"/>
    <w:rsid w:val="00D27DE4"/>
    <w:rsid w:val="00D27F9C"/>
    <w:rsid w:val="00D30049"/>
    <w:rsid w:val="00D30112"/>
    <w:rsid w:val="00D3058F"/>
    <w:rsid w:val="00D31402"/>
    <w:rsid w:val="00D317FC"/>
    <w:rsid w:val="00D31BB9"/>
    <w:rsid w:val="00D32989"/>
    <w:rsid w:val="00D332C0"/>
    <w:rsid w:val="00D33589"/>
    <w:rsid w:val="00D33A7E"/>
    <w:rsid w:val="00D33B35"/>
    <w:rsid w:val="00D33E98"/>
    <w:rsid w:val="00D34010"/>
    <w:rsid w:val="00D3519C"/>
    <w:rsid w:val="00D35645"/>
    <w:rsid w:val="00D356FF"/>
    <w:rsid w:val="00D359C6"/>
    <w:rsid w:val="00D359F6"/>
    <w:rsid w:val="00D3611E"/>
    <w:rsid w:val="00D364DC"/>
    <w:rsid w:val="00D36587"/>
    <w:rsid w:val="00D36F6E"/>
    <w:rsid w:val="00D36FE7"/>
    <w:rsid w:val="00D370CF"/>
    <w:rsid w:val="00D4012A"/>
    <w:rsid w:val="00D40DDB"/>
    <w:rsid w:val="00D42131"/>
    <w:rsid w:val="00D42B57"/>
    <w:rsid w:val="00D42BE9"/>
    <w:rsid w:val="00D42C9B"/>
    <w:rsid w:val="00D42D93"/>
    <w:rsid w:val="00D43420"/>
    <w:rsid w:val="00D434CF"/>
    <w:rsid w:val="00D43758"/>
    <w:rsid w:val="00D4436A"/>
    <w:rsid w:val="00D44712"/>
    <w:rsid w:val="00D452D3"/>
    <w:rsid w:val="00D455DD"/>
    <w:rsid w:val="00D459B3"/>
    <w:rsid w:val="00D45CAA"/>
    <w:rsid w:val="00D46A55"/>
    <w:rsid w:val="00D4743E"/>
    <w:rsid w:val="00D4760C"/>
    <w:rsid w:val="00D47624"/>
    <w:rsid w:val="00D50513"/>
    <w:rsid w:val="00D50CE4"/>
    <w:rsid w:val="00D50FF6"/>
    <w:rsid w:val="00D511AE"/>
    <w:rsid w:val="00D51365"/>
    <w:rsid w:val="00D517C6"/>
    <w:rsid w:val="00D51C6C"/>
    <w:rsid w:val="00D52727"/>
    <w:rsid w:val="00D534DC"/>
    <w:rsid w:val="00D53BEC"/>
    <w:rsid w:val="00D5493B"/>
    <w:rsid w:val="00D54C2C"/>
    <w:rsid w:val="00D55782"/>
    <w:rsid w:val="00D55925"/>
    <w:rsid w:val="00D559A3"/>
    <w:rsid w:val="00D55AF2"/>
    <w:rsid w:val="00D55B9B"/>
    <w:rsid w:val="00D55BD3"/>
    <w:rsid w:val="00D560DF"/>
    <w:rsid w:val="00D56154"/>
    <w:rsid w:val="00D569D6"/>
    <w:rsid w:val="00D56B15"/>
    <w:rsid w:val="00D572A0"/>
    <w:rsid w:val="00D57BD4"/>
    <w:rsid w:val="00D61181"/>
    <w:rsid w:val="00D613B1"/>
    <w:rsid w:val="00D61616"/>
    <w:rsid w:val="00D617CB"/>
    <w:rsid w:val="00D6184E"/>
    <w:rsid w:val="00D6185B"/>
    <w:rsid w:val="00D6193C"/>
    <w:rsid w:val="00D619AB"/>
    <w:rsid w:val="00D61BE8"/>
    <w:rsid w:val="00D620EC"/>
    <w:rsid w:val="00D6219F"/>
    <w:rsid w:val="00D6274A"/>
    <w:rsid w:val="00D62897"/>
    <w:rsid w:val="00D62B6F"/>
    <w:rsid w:val="00D6344C"/>
    <w:rsid w:val="00D6357A"/>
    <w:rsid w:val="00D6384B"/>
    <w:rsid w:val="00D640E5"/>
    <w:rsid w:val="00D643B5"/>
    <w:rsid w:val="00D647F7"/>
    <w:rsid w:val="00D64C58"/>
    <w:rsid w:val="00D65469"/>
    <w:rsid w:val="00D65DB5"/>
    <w:rsid w:val="00D65DEE"/>
    <w:rsid w:val="00D66809"/>
    <w:rsid w:val="00D6687A"/>
    <w:rsid w:val="00D672B3"/>
    <w:rsid w:val="00D67378"/>
    <w:rsid w:val="00D675BE"/>
    <w:rsid w:val="00D70F15"/>
    <w:rsid w:val="00D71293"/>
    <w:rsid w:val="00D71C58"/>
    <w:rsid w:val="00D71DD4"/>
    <w:rsid w:val="00D7203D"/>
    <w:rsid w:val="00D722D5"/>
    <w:rsid w:val="00D72749"/>
    <w:rsid w:val="00D7278E"/>
    <w:rsid w:val="00D72B09"/>
    <w:rsid w:val="00D72C5A"/>
    <w:rsid w:val="00D72E61"/>
    <w:rsid w:val="00D72FA6"/>
    <w:rsid w:val="00D732C3"/>
    <w:rsid w:val="00D73952"/>
    <w:rsid w:val="00D73FA2"/>
    <w:rsid w:val="00D747F9"/>
    <w:rsid w:val="00D75080"/>
    <w:rsid w:val="00D753A9"/>
    <w:rsid w:val="00D75810"/>
    <w:rsid w:val="00D75D7A"/>
    <w:rsid w:val="00D7603F"/>
    <w:rsid w:val="00D76585"/>
    <w:rsid w:val="00D76763"/>
    <w:rsid w:val="00D76B74"/>
    <w:rsid w:val="00D76B84"/>
    <w:rsid w:val="00D76DF8"/>
    <w:rsid w:val="00D773E0"/>
    <w:rsid w:val="00D77BC1"/>
    <w:rsid w:val="00D8035C"/>
    <w:rsid w:val="00D80EB5"/>
    <w:rsid w:val="00D81041"/>
    <w:rsid w:val="00D811B0"/>
    <w:rsid w:val="00D81200"/>
    <w:rsid w:val="00D813CB"/>
    <w:rsid w:val="00D81A1D"/>
    <w:rsid w:val="00D81C5C"/>
    <w:rsid w:val="00D82838"/>
    <w:rsid w:val="00D82B22"/>
    <w:rsid w:val="00D82F46"/>
    <w:rsid w:val="00D830E1"/>
    <w:rsid w:val="00D83A90"/>
    <w:rsid w:val="00D842AA"/>
    <w:rsid w:val="00D845D8"/>
    <w:rsid w:val="00D846BE"/>
    <w:rsid w:val="00D848C0"/>
    <w:rsid w:val="00D84DF9"/>
    <w:rsid w:val="00D85293"/>
    <w:rsid w:val="00D852E2"/>
    <w:rsid w:val="00D85809"/>
    <w:rsid w:val="00D85EB4"/>
    <w:rsid w:val="00D865EC"/>
    <w:rsid w:val="00D86977"/>
    <w:rsid w:val="00D87258"/>
    <w:rsid w:val="00D874EF"/>
    <w:rsid w:val="00D877B6"/>
    <w:rsid w:val="00D879D4"/>
    <w:rsid w:val="00D91CE2"/>
    <w:rsid w:val="00D92ECE"/>
    <w:rsid w:val="00D93212"/>
    <w:rsid w:val="00D93870"/>
    <w:rsid w:val="00D939A8"/>
    <w:rsid w:val="00D94043"/>
    <w:rsid w:val="00D940A1"/>
    <w:rsid w:val="00D9490C"/>
    <w:rsid w:val="00D94A6F"/>
    <w:rsid w:val="00D94DBF"/>
    <w:rsid w:val="00D951EB"/>
    <w:rsid w:val="00D954E0"/>
    <w:rsid w:val="00D95581"/>
    <w:rsid w:val="00D9583E"/>
    <w:rsid w:val="00D960F5"/>
    <w:rsid w:val="00D96B17"/>
    <w:rsid w:val="00D96D60"/>
    <w:rsid w:val="00D96DAF"/>
    <w:rsid w:val="00D96EAC"/>
    <w:rsid w:val="00D97396"/>
    <w:rsid w:val="00D97C40"/>
    <w:rsid w:val="00DA005A"/>
    <w:rsid w:val="00DA0563"/>
    <w:rsid w:val="00DA0F07"/>
    <w:rsid w:val="00DA13C1"/>
    <w:rsid w:val="00DA1535"/>
    <w:rsid w:val="00DA171E"/>
    <w:rsid w:val="00DA1B4E"/>
    <w:rsid w:val="00DA1CBC"/>
    <w:rsid w:val="00DA2534"/>
    <w:rsid w:val="00DA27EA"/>
    <w:rsid w:val="00DA35D1"/>
    <w:rsid w:val="00DA39B4"/>
    <w:rsid w:val="00DA3EEA"/>
    <w:rsid w:val="00DA3FE3"/>
    <w:rsid w:val="00DA41C8"/>
    <w:rsid w:val="00DA4848"/>
    <w:rsid w:val="00DA4B5A"/>
    <w:rsid w:val="00DA55A1"/>
    <w:rsid w:val="00DA5831"/>
    <w:rsid w:val="00DA5B0A"/>
    <w:rsid w:val="00DA5B2E"/>
    <w:rsid w:val="00DA5C12"/>
    <w:rsid w:val="00DA5FAF"/>
    <w:rsid w:val="00DA6C53"/>
    <w:rsid w:val="00DA70CE"/>
    <w:rsid w:val="00DA7314"/>
    <w:rsid w:val="00DA7C7B"/>
    <w:rsid w:val="00DA7CDB"/>
    <w:rsid w:val="00DA7EE9"/>
    <w:rsid w:val="00DA7F7E"/>
    <w:rsid w:val="00DB074F"/>
    <w:rsid w:val="00DB0C12"/>
    <w:rsid w:val="00DB1360"/>
    <w:rsid w:val="00DB13F6"/>
    <w:rsid w:val="00DB1649"/>
    <w:rsid w:val="00DB1950"/>
    <w:rsid w:val="00DB1B7E"/>
    <w:rsid w:val="00DB1CD7"/>
    <w:rsid w:val="00DB1ED0"/>
    <w:rsid w:val="00DB2377"/>
    <w:rsid w:val="00DB25AD"/>
    <w:rsid w:val="00DB262D"/>
    <w:rsid w:val="00DB26AD"/>
    <w:rsid w:val="00DB2F19"/>
    <w:rsid w:val="00DB3436"/>
    <w:rsid w:val="00DB366E"/>
    <w:rsid w:val="00DB3B5B"/>
    <w:rsid w:val="00DB404F"/>
    <w:rsid w:val="00DB43F1"/>
    <w:rsid w:val="00DB45F9"/>
    <w:rsid w:val="00DB4638"/>
    <w:rsid w:val="00DB47AD"/>
    <w:rsid w:val="00DB47CE"/>
    <w:rsid w:val="00DB4AAA"/>
    <w:rsid w:val="00DB4B59"/>
    <w:rsid w:val="00DB4CFE"/>
    <w:rsid w:val="00DB4EAC"/>
    <w:rsid w:val="00DB5BAE"/>
    <w:rsid w:val="00DB5C38"/>
    <w:rsid w:val="00DB671E"/>
    <w:rsid w:val="00DB6A8F"/>
    <w:rsid w:val="00DB6D0C"/>
    <w:rsid w:val="00DB712D"/>
    <w:rsid w:val="00DB7430"/>
    <w:rsid w:val="00DB7754"/>
    <w:rsid w:val="00DB7956"/>
    <w:rsid w:val="00DC00CD"/>
    <w:rsid w:val="00DC025E"/>
    <w:rsid w:val="00DC02DE"/>
    <w:rsid w:val="00DC0356"/>
    <w:rsid w:val="00DC055D"/>
    <w:rsid w:val="00DC05B9"/>
    <w:rsid w:val="00DC05DA"/>
    <w:rsid w:val="00DC05E1"/>
    <w:rsid w:val="00DC09E5"/>
    <w:rsid w:val="00DC0A50"/>
    <w:rsid w:val="00DC0A97"/>
    <w:rsid w:val="00DC1B3D"/>
    <w:rsid w:val="00DC1C88"/>
    <w:rsid w:val="00DC1D34"/>
    <w:rsid w:val="00DC201F"/>
    <w:rsid w:val="00DC2098"/>
    <w:rsid w:val="00DC23BB"/>
    <w:rsid w:val="00DC2682"/>
    <w:rsid w:val="00DC3257"/>
    <w:rsid w:val="00DC4B6F"/>
    <w:rsid w:val="00DC583C"/>
    <w:rsid w:val="00DC5C49"/>
    <w:rsid w:val="00DC685B"/>
    <w:rsid w:val="00DC6A1A"/>
    <w:rsid w:val="00DC6C38"/>
    <w:rsid w:val="00DC6F8C"/>
    <w:rsid w:val="00DC7214"/>
    <w:rsid w:val="00DC742E"/>
    <w:rsid w:val="00DC7684"/>
    <w:rsid w:val="00DC794C"/>
    <w:rsid w:val="00DC79F2"/>
    <w:rsid w:val="00DC7C87"/>
    <w:rsid w:val="00DC7D54"/>
    <w:rsid w:val="00DC7E9C"/>
    <w:rsid w:val="00DC7F29"/>
    <w:rsid w:val="00DC7F79"/>
    <w:rsid w:val="00DD0233"/>
    <w:rsid w:val="00DD02CB"/>
    <w:rsid w:val="00DD07BB"/>
    <w:rsid w:val="00DD0AF3"/>
    <w:rsid w:val="00DD0C6B"/>
    <w:rsid w:val="00DD1115"/>
    <w:rsid w:val="00DD121B"/>
    <w:rsid w:val="00DD162E"/>
    <w:rsid w:val="00DD1AC3"/>
    <w:rsid w:val="00DD1B0B"/>
    <w:rsid w:val="00DD268E"/>
    <w:rsid w:val="00DD26ED"/>
    <w:rsid w:val="00DD2848"/>
    <w:rsid w:val="00DD28C5"/>
    <w:rsid w:val="00DD2C62"/>
    <w:rsid w:val="00DD2F45"/>
    <w:rsid w:val="00DD30E2"/>
    <w:rsid w:val="00DD369B"/>
    <w:rsid w:val="00DD3892"/>
    <w:rsid w:val="00DD3A2C"/>
    <w:rsid w:val="00DD411C"/>
    <w:rsid w:val="00DD4445"/>
    <w:rsid w:val="00DD4778"/>
    <w:rsid w:val="00DD4B3D"/>
    <w:rsid w:val="00DD52DE"/>
    <w:rsid w:val="00DD543B"/>
    <w:rsid w:val="00DD5DA2"/>
    <w:rsid w:val="00DD5EA9"/>
    <w:rsid w:val="00DD62CC"/>
    <w:rsid w:val="00DD65C4"/>
    <w:rsid w:val="00DD66C6"/>
    <w:rsid w:val="00DD684E"/>
    <w:rsid w:val="00DD6B19"/>
    <w:rsid w:val="00DD70E8"/>
    <w:rsid w:val="00DD7149"/>
    <w:rsid w:val="00DD7EF9"/>
    <w:rsid w:val="00DD7F68"/>
    <w:rsid w:val="00DE0088"/>
    <w:rsid w:val="00DE0950"/>
    <w:rsid w:val="00DE0B75"/>
    <w:rsid w:val="00DE1DE3"/>
    <w:rsid w:val="00DE1E3B"/>
    <w:rsid w:val="00DE239D"/>
    <w:rsid w:val="00DE245C"/>
    <w:rsid w:val="00DE2E6E"/>
    <w:rsid w:val="00DE311F"/>
    <w:rsid w:val="00DE347C"/>
    <w:rsid w:val="00DE34D9"/>
    <w:rsid w:val="00DE3630"/>
    <w:rsid w:val="00DE37EE"/>
    <w:rsid w:val="00DE39AF"/>
    <w:rsid w:val="00DE3DF1"/>
    <w:rsid w:val="00DE3E1C"/>
    <w:rsid w:val="00DE48BC"/>
    <w:rsid w:val="00DE4AF6"/>
    <w:rsid w:val="00DE52D8"/>
    <w:rsid w:val="00DE5487"/>
    <w:rsid w:val="00DE54C4"/>
    <w:rsid w:val="00DE56C5"/>
    <w:rsid w:val="00DE5B48"/>
    <w:rsid w:val="00DE5BA5"/>
    <w:rsid w:val="00DE5BF0"/>
    <w:rsid w:val="00DE5F95"/>
    <w:rsid w:val="00DE7055"/>
    <w:rsid w:val="00DE734B"/>
    <w:rsid w:val="00DE7681"/>
    <w:rsid w:val="00DE7DB8"/>
    <w:rsid w:val="00DF06BE"/>
    <w:rsid w:val="00DF07A6"/>
    <w:rsid w:val="00DF07E6"/>
    <w:rsid w:val="00DF0BDA"/>
    <w:rsid w:val="00DF0F17"/>
    <w:rsid w:val="00DF1080"/>
    <w:rsid w:val="00DF12FA"/>
    <w:rsid w:val="00DF14F7"/>
    <w:rsid w:val="00DF1903"/>
    <w:rsid w:val="00DF1CBF"/>
    <w:rsid w:val="00DF214D"/>
    <w:rsid w:val="00DF32D9"/>
    <w:rsid w:val="00DF3367"/>
    <w:rsid w:val="00DF345F"/>
    <w:rsid w:val="00DF363E"/>
    <w:rsid w:val="00DF458B"/>
    <w:rsid w:val="00DF4773"/>
    <w:rsid w:val="00DF498E"/>
    <w:rsid w:val="00DF4B68"/>
    <w:rsid w:val="00DF4B6C"/>
    <w:rsid w:val="00DF51B3"/>
    <w:rsid w:val="00DF5A49"/>
    <w:rsid w:val="00DF60B6"/>
    <w:rsid w:val="00DF6434"/>
    <w:rsid w:val="00DF643A"/>
    <w:rsid w:val="00DF68C0"/>
    <w:rsid w:val="00DF6D85"/>
    <w:rsid w:val="00DF744D"/>
    <w:rsid w:val="00DF755F"/>
    <w:rsid w:val="00DF7E3E"/>
    <w:rsid w:val="00E00062"/>
    <w:rsid w:val="00E0038F"/>
    <w:rsid w:val="00E00858"/>
    <w:rsid w:val="00E00A26"/>
    <w:rsid w:val="00E00B7D"/>
    <w:rsid w:val="00E00FA4"/>
    <w:rsid w:val="00E011F9"/>
    <w:rsid w:val="00E01447"/>
    <w:rsid w:val="00E01945"/>
    <w:rsid w:val="00E01C4E"/>
    <w:rsid w:val="00E022C1"/>
    <w:rsid w:val="00E024B2"/>
    <w:rsid w:val="00E02620"/>
    <w:rsid w:val="00E02846"/>
    <w:rsid w:val="00E02F78"/>
    <w:rsid w:val="00E03066"/>
    <w:rsid w:val="00E0328D"/>
    <w:rsid w:val="00E032E2"/>
    <w:rsid w:val="00E033C5"/>
    <w:rsid w:val="00E037C8"/>
    <w:rsid w:val="00E038EB"/>
    <w:rsid w:val="00E040B9"/>
    <w:rsid w:val="00E04D41"/>
    <w:rsid w:val="00E04EB1"/>
    <w:rsid w:val="00E05DCA"/>
    <w:rsid w:val="00E0612A"/>
    <w:rsid w:val="00E067F9"/>
    <w:rsid w:val="00E06B9A"/>
    <w:rsid w:val="00E0719D"/>
    <w:rsid w:val="00E07350"/>
    <w:rsid w:val="00E07BA3"/>
    <w:rsid w:val="00E10A14"/>
    <w:rsid w:val="00E10DEF"/>
    <w:rsid w:val="00E114A2"/>
    <w:rsid w:val="00E1249A"/>
    <w:rsid w:val="00E124EE"/>
    <w:rsid w:val="00E1257C"/>
    <w:rsid w:val="00E1260A"/>
    <w:rsid w:val="00E12822"/>
    <w:rsid w:val="00E128A4"/>
    <w:rsid w:val="00E1293D"/>
    <w:rsid w:val="00E13185"/>
    <w:rsid w:val="00E13307"/>
    <w:rsid w:val="00E140AC"/>
    <w:rsid w:val="00E14283"/>
    <w:rsid w:val="00E1488B"/>
    <w:rsid w:val="00E150FF"/>
    <w:rsid w:val="00E151EB"/>
    <w:rsid w:val="00E1553B"/>
    <w:rsid w:val="00E163ED"/>
    <w:rsid w:val="00E16641"/>
    <w:rsid w:val="00E17B5B"/>
    <w:rsid w:val="00E17D5E"/>
    <w:rsid w:val="00E2029F"/>
    <w:rsid w:val="00E20A0D"/>
    <w:rsid w:val="00E21774"/>
    <w:rsid w:val="00E21E11"/>
    <w:rsid w:val="00E21E17"/>
    <w:rsid w:val="00E220E2"/>
    <w:rsid w:val="00E22156"/>
    <w:rsid w:val="00E22C7A"/>
    <w:rsid w:val="00E23604"/>
    <w:rsid w:val="00E23D84"/>
    <w:rsid w:val="00E24311"/>
    <w:rsid w:val="00E2475B"/>
    <w:rsid w:val="00E24CF0"/>
    <w:rsid w:val="00E24E3D"/>
    <w:rsid w:val="00E24E62"/>
    <w:rsid w:val="00E24FED"/>
    <w:rsid w:val="00E254D3"/>
    <w:rsid w:val="00E25653"/>
    <w:rsid w:val="00E25666"/>
    <w:rsid w:val="00E25768"/>
    <w:rsid w:val="00E267E7"/>
    <w:rsid w:val="00E26DAA"/>
    <w:rsid w:val="00E272C4"/>
    <w:rsid w:val="00E2753D"/>
    <w:rsid w:val="00E27582"/>
    <w:rsid w:val="00E2760B"/>
    <w:rsid w:val="00E30496"/>
    <w:rsid w:val="00E30B87"/>
    <w:rsid w:val="00E30CE9"/>
    <w:rsid w:val="00E30E43"/>
    <w:rsid w:val="00E31019"/>
    <w:rsid w:val="00E3149E"/>
    <w:rsid w:val="00E317EB"/>
    <w:rsid w:val="00E31AA0"/>
    <w:rsid w:val="00E31CE2"/>
    <w:rsid w:val="00E31D0C"/>
    <w:rsid w:val="00E31D94"/>
    <w:rsid w:val="00E320A4"/>
    <w:rsid w:val="00E3219D"/>
    <w:rsid w:val="00E321A9"/>
    <w:rsid w:val="00E32322"/>
    <w:rsid w:val="00E32842"/>
    <w:rsid w:val="00E3328A"/>
    <w:rsid w:val="00E3329D"/>
    <w:rsid w:val="00E33A29"/>
    <w:rsid w:val="00E33AF7"/>
    <w:rsid w:val="00E34034"/>
    <w:rsid w:val="00E35345"/>
    <w:rsid w:val="00E35514"/>
    <w:rsid w:val="00E35713"/>
    <w:rsid w:val="00E358C3"/>
    <w:rsid w:val="00E35A7C"/>
    <w:rsid w:val="00E35E1F"/>
    <w:rsid w:val="00E35F29"/>
    <w:rsid w:val="00E35FE0"/>
    <w:rsid w:val="00E360F5"/>
    <w:rsid w:val="00E3628B"/>
    <w:rsid w:val="00E36332"/>
    <w:rsid w:val="00E36BF4"/>
    <w:rsid w:val="00E37497"/>
    <w:rsid w:val="00E375EF"/>
    <w:rsid w:val="00E37662"/>
    <w:rsid w:val="00E37A67"/>
    <w:rsid w:val="00E37B62"/>
    <w:rsid w:val="00E40240"/>
    <w:rsid w:val="00E40A3D"/>
    <w:rsid w:val="00E40AEF"/>
    <w:rsid w:val="00E40B25"/>
    <w:rsid w:val="00E40F92"/>
    <w:rsid w:val="00E4116A"/>
    <w:rsid w:val="00E413DF"/>
    <w:rsid w:val="00E4160D"/>
    <w:rsid w:val="00E41630"/>
    <w:rsid w:val="00E41AFE"/>
    <w:rsid w:val="00E41BBD"/>
    <w:rsid w:val="00E42341"/>
    <w:rsid w:val="00E42954"/>
    <w:rsid w:val="00E42D6B"/>
    <w:rsid w:val="00E42EC8"/>
    <w:rsid w:val="00E43191"/>
    <w:rsid w:val="00E43490"/>
    <w:rsid w:val="00E43CCF"/>
    <w:rsid w:val="00E43E7E"/>
    <w:rsid w:val="00E44981"/>
    <w:rsid w:val="00E44DDF"/>
    <w:rsid w:val="00E44E6A"/>
    <w:rsid w:val="00E44F25"/>
    <w:rsid w:val="00E45729"/>
    <w:rsid w:val="00E45DE2"/>
    <w:rsid w:val="00E45EBB"/>
    <w:rsid w:val="00E460E3"/>
    <w:rsid w:val="00E465AA"/>
    <w:rsid w:val="00E46BE3"/>
    <w:rsid w:val="00E46CF7"/>
    <w:rsid w:val="00E471F0"/>
    <w:rsid w:val="00E4735B"/>
    <w:rsid w:val="00E47542"/>
    <w:rsid w:val="00E477B4"/>
    <w:rsid w:val="00E479E2"/>
    <w:rsid w:val="00E47AFF"/>
    <w:rsid w:val="00E47C88"/>
    <w:rsid w:val="00E511F8"/>
    <w:rsid w:val="00E519F5"/>
    <w:rsid w:val="00E51A79"/>
    <w:rsid w:val="00E5207D"/>
    <w:rsid w:val="00E52172"/>
    <w:rsid w:val="00E5232F"/>
    <w:rsid w:val="00E52627"/>
    <w:rsid w:val="00E52F4B"/>
    <w:rsid w:val="00E53113"/>
    <w:rsid w:val="00E535AC"/>
    <w:rsid w:val="00E5380D"/>
    <w:rsid w:val="00E53A0C"/>
    <w:rsid w:val="00E53B81"/>
    <w:rsid w:val="00E541E2"/>
    <w:rsid w:val="00E542FA"/>
    <w:rsid w:val="00E55446"/>
    <w:rsid w:val="00E5579F"/>
    <w:rsid w:val="00E55CAE"/>
    <w:rsid w:val="00E55CC7"/>
    <w:rsid w:val="00E55CFA"/>
    <w:rsid w:val="00E55D3C"/>
    <w:rsid w:val="00E55DCD"/>
    <w:rsid w:val="00E55EA6"/>
    <w:rsid w:val="00E5639B"/>
    <w:rsid w:val="00E565FD"/>
    <w:rsid w:val="00E56BF0"/>
    <w:rsid w:val="00E57FCB"/>
    <w:rsid w:val="00E60080"/>
    <w:rsid w:val="00E60AB9"/>
    <w:rsid w:val="00E60AD7"/>
    <w:rsid w:val="00E61983"/>
    <w:rsid w:val="00E61B49"/>
    <w:rsid w:val="00E61DB6"/>
    <w:rsid w:val="00E61E12"/>
    <w:rsid w:val="00E621A2"/>
    <w:rsid w:val="00E62889"/>
    <w:rsid w:val="00E628C8"/>
    <w:rsid w:val="00E62AA1"/>
    <w:rsid w:val="00E632AC"/>
    <w:rsid w:val="00E638C0"/>
    <w:rsid w:val="00E63936"/>
    <w:rsid w:val="00E63E25"/>
    <w:rsid w:val="00E65513"/>
    <w:rsid w:val="00E656E4"/>
    <w:rsid w:val="00E65F32"/>
    <w:rsid w:val="00E6623E"/>
    <w:rsid w:val="00E66550"/>
    <w:rsid w:val="00E670E7"/>
    <w:rsid w:val="00E6730F"/>
    <w:rsid w:val="00E676C9"/>
    <w:rsid w:val="00E70030"/>
    <w:rsid w:val="00E7038E"/>
    <w:rsid w:val="00E706E9"/>
    <w:rsid w:val="00E70891"/>
    <w:rsid w:val="00E709D3"/>
    <w:rsid w:val="00E71D63"/>
    <w:rsid w:val="00E73877"/>
    <w:rsid w:val="00E7424B"/>
    <w:rsid w:val="00E74457"/>
    <w:rsid w:val="00E7463A"/>
    <w:rsid w:val="00E75B4B"/>
    <w:rsid w:val="00E75B6D"/>
    <w:rsid w:val="00E75FD5"/>
    <w:rsid w:val="00E7686D"/>
    <w:rsid w:val="00E76D01"/>
    <w:rsid w:val="00E77302"/>
    <w:rsid w:val="00E775A5"/>
    <w:rsid w:val="00E77628"/>
    <w:rsid w:val="00E7764D"/>
    <w:rsid w:val="00E7798E"/>
    <w:rsid w:val="00E77C38"/>
    <w:rsid w:val="00E77E21"/>
    <w:rsid w:val="00E77F41"/>
    <w:rsid w:val="00E80F37"/>
    <w:rsid w:val="00E8106F"/>
    <w:rsid w:val="00E81B04"/>
    <w:rsid w:val="00E81BDC"/>
    <w:rsid w:val="00E82236"/>
    <w:rsid w:val="00E8287D"/>
    <w:rsid w:val="00E839FB"/>
    <w:rsid w:val="00E83C02"/>
    <w:rsid w:val="00E84294"/>
    <w:rsid w:val="00E842CD"/>
    <w:rsid w:val="00E848CB"/>
    <w:rsid w:val="00E8491A"/>
    <w:rsid w:val="00E8495F"/>
    <w:rsid w:val="00E84C01"/>
    <w:rsid w:val="00E84CC7"/>
    <w:rsid w:val="00E84D8F"/>
    <w:rsid w:val="00E84F06"/>
    <w:rsid w:val="00E85364"/>
    <w:rsid w:val="00E85702"/>
    <w:rsid w:val="00E859CB"/>
    <w:rsid w:val="00E8638C"/>
    <w:rsid w:val="00E8638D"/>
    <w:rsid w:val="00E86571"/>
    <w:rsid w:val="00E867D4"/>
    <w:rsid w:val="00E86D92"/>
    <w:rsid w:val="00E8772F"/>
    <w:rsid w:val="00E8779E"/>
    <w:rsid w:val="00E87BCE"/>
    <w:rsid w:val="00E87C77"/>
    <w:rsid w:val="00E9042A"/>
    <w:rsid w:val="00E9055B"/>
    <w:rsid w:val="00E90624"/>
    <w:rsid w:val="00E9066B"/>
    <w:rsid w:val="00E90719"/>
    <w:rsid w:val="00E90FB1"/>
    <w:rsid w:val="00E90FE0"/>
    <w:rsid w:val="00E92108"/>
    <w:rsid w:val="00E9234E"/>
    <w:rsid w:val="00E92813"/>
    <w:rsid w:val="00E9347C"/>
    <w:rsid w:val="00E93490"/>
    <w:rsid w:val="00E93846"/>
    <w:rsid w:val="00E93B2B"/>
    <w:rsid w:val="00E94A43"/>
    <w:rsid w:val="00E94AEB"/>
    <w:rsid w:val="00E950B5"/>
    <w:rsid w:val="00E95157"/>
    <w:rsid w:val="00E95C6D"/>
    <w:rsid w:val="00E95D6D"/>
    <w:rsid w:val="00E96B62"/>
    <w:rsid w:val="00E96F42"/>
    <w:rsid w:val="00E9705E"/>
    <w:rsid w:val="00E97096"/>
    <w:rsid w:val="00E97570"/>
    <w:rsid w:val="00E979FE"/>
    <w:rsid w:val="00E97E79"/>
    <w:rsid w:val="00EA0932"/>
    <w:rsid w:val="00EA09C6"/>
    <w:rsid w:val="00EA158F"/>
    <w:rsid w:val="00EA1BF7"/>
    <w:rsid w:val="00EA226E"/>
    <w:rsid w:val="00EA31DC"/>
    <w:rsid w:val="00EA3B31"/>
    <w:rsid w:val="00EA4327"/>
    <w:rsid w:val="00EA43F8"/>
    <w:rsid w:val="00EA4512"/>
    <w:rsid w:val="00EA47DC"/>
    <w:rsid w:val="00EA4A37"/>
    <w:rsid w:val="00EA5267"/>
    <w:rsid w:val="00EA52DC"/>
    <w:rsid w:val="00EA6151"/>
    <w:rsid w:val="00EA61BA"/>
    <w:rsid w:val="00EA626B"/>
    <w:rsid w:val="00EA6669"/>
    <w:rsid w:val="00EA6997"/>
    <w:rsid w:val="00EA69C2"/>
    <w:rsid w:val="00EA6E26"/>
    <w:rsid w:val="00EA6FB4"/>
    <w:rsid w:val="00EA7306"/>
    <w:rsid w:val="00EA7483"/>
    <w:rsid w:val="00EA74E7"/>
    <w:rsid w:val="00EA7881"/>
    <w:rsid w:val="00EA7CE9"/>
    <w:rsid w:val="00EB084F"/>
    <w:rsid w:val="00EB088A"/>
    <w:rsid w:val="00EB088F"/>
    <w:rsid w:val="00EB142B"/>
    <w:rsid w:val="00EB14DB"/>
    <w:rsid w:val="00EB14DE"/>
    <w:rsid w:val="00EB1826"/>
    <w:rsid w:val="00EB1A38"/>
    <w:rsid w:val="00EB21E5"/>
    <w:rsid w:val="00EB24FA"/>
    <w:rsid w:val="00EB27BF"/>
    <w:rsid w:val="00EB2CF2"/>
    <w:rsid w:val="00EB2F0A"/>
    <w:rsid w:val="00EB352E"/>
    <w:rsid w:val="00EB355A"/>
    <w:rsid w:val="00EB364C"/>
    <w:rsid w:val="00EB3A6F"/>
    <w:rsid w:val="00EB3D59"/>
    <w:rsid w:val="00EB3EDF"/>
    <w:rsid w:val="00EB3F2A"/>
    <w:rsid w:val="00EB43DE"/>
    <w:rsid w:val="00EB4A35"/>
    <w:rsid w:val="00EB4F2B"/>
    <w:rsid w:val="00EB5618"/>
    <w:rsid w:val="00EB56E3"/>
    <w:rsid w:val="00EB5727"/>
    <w:rsid w:val="00EB6098"/>
    <w:rsid w:val="00EB6187"/>
    <w:rsid w:val="00EB6223"/>
    <w:rsid w:val="00EB6E01"/>
    <w:rsid w:val="00EB6FA5"/>
    <w:rsid w:val="00EB7327"/>
    <w:rsid w:val="00EB77E7"/>
    <w:rsid w:val="00EB7988"/>
    <w:rsid w:val="00EB7A2C"/>
    <w:rsid w:val="00EB7EF7"/>
    <w:rsid w:val="00EC0065"/>
    <w:rsid w:val="00EC0352"/>
    <w:rsid w:val="00EC0739"/>
    <w:rsid w:val="00EC0AD1"/>
    <w:rsid w:val="00EC0AFE"/>
    <w:rsid w:val="00EC1283"/>
    <w:rsid w:val="00EC1680"/>
    <w:rsid w:val="00EC1B96"/>
    <w:rsid w:val="00EC1E25"/>
    <w:rsid w:val="00EC297A"/>
    <w:rsid w:val="00EC29ED"/>
    <w:rsid w:val="00EC2ADF"/>
    <w:rsid w:val="00EC2CC9"/>
    <w:rsid w:val="00EC30F5"/>
    <w:rsid w:val="00EC396B"/>
    <w:rsid w:val="00EC3F1A"/>
    <w:rsid w:val="00EC405F"/>
    <w:rsid w:val="00EC40B6"/>
    <w:rsid w:val="00EC4112"/>
    <w:rsid w:val="00EC422A"/>
    <w:rsid w:val="00EC5196"/>
    <w:rsid w:val="00EC565E"/>
    <w:rsid w:val="00EC5978"/>
    <w:rsid w:val="00EC5B0C"/>
    <w:rsid w:val="00EC5FD1"/>
    <w:rsid w:val="00EC6328"/>
    <w:rsid w:val="00EC7F79"/>
    <w:rsid w:val="00EC7FB3"/>
    <w:rsid w:val="00ED0509"/>
    <w:rsid w:val="00ED05BE"/>
    <w:rsid w:val="00ED0A14"/>
    <w:rsid w:val="00ED158A"/>
    <w:rsid w:val="00ED1C74"/>
    <w:rsid w:val="00ED1EC1"/>
    <w:rsid w:val="00ED21DE"/>
    <w:rsid w:val="00ED2A14"/>
    <w:rsid w:val="00ED2ABC"/>
    <w:rsid w:val="00ED2C8F"/>
    <w:rsid w:val="00ED2DF5"/>
    <w:rsid w:val="00ED37A5"/>
    <w:rsid w:val="00ED3966"/>
    <w:rsid w:val="00ED4309"/>
    <w:rsid w:val="00ED4490"/>
    <w:rsid w:val="00ED459D"/>
    <w:rsid w:val="00ED4928"/>
    <w:rsid w:val="00ED4C1A"/>
    <w:rsid w:val="00ED4E8F"/>
    <w:rsid w:val="00ED51A1"/>
    <w:rsid w:val="00ED546F"/>
    <w:rsid w:val="00ED5ACB"/>
    <w:rsid w:val="00ED5BF0"/>
    <w:rsid w:val="00ED62A8"/>
    <w:rsid w:val="00ED64FA"/>
    <w:rsid w:val="00ED6672"/>
    <w:rsid w:val="00ED676E"/>
    <w:rsid w:val="00ED6925"/>
    <w:rsid w:val="00ED6A8C"/>
    <w:rsid w:val="00ED6DF4"/>
    <w:rsid w:val="00ED74B8"/>
    <w:rsid w:val="00EE0235"/>
    <w:rsid w:val="00EE13AB"/>
    <w:rsid w:val="00EE15E7"/>
    <w:rsid w:val="00EE1A0A"/>
    <w:rsid w:val="00EE1B67"/>
    <w:rsid w:val="00EE1E00"/>
    <w:rsid w:val="00EE206B"/>
    <w:rsid w:val="00EE3251"/>
    <w:rsid w:val="00EE32CE"/>
    <w:rsid w:val="00EE3305"/>
    <w:rsid w:val="00EE3C5C"/>
    <w:rsid w:val="00EE3E0E"/>
    <w:rsid w:val="00EE3F06"/>
    <w:rsid w:val="00EE40E4"/>
    <w:rsid w:val="00EE4995"/>
    <w:rsid w:val="00EE49F7"/>
    <w:rsid w:val="00EE4A31"/>
    <w:rsid w:val="00EE4E43"/>
    <w:rsid w:val="00EE4EB8"/>
    <w:rsid w:val="00EE50AC"/>
    <w:rsid w:val="00EE5653"/>
    <w:rsid w:val="00EE5887"/>
    <w:rsid w:val="00EE5A5F"/>
    <w:rsid w:val="00EE5DE5"/>
    <w:rsid w:val="00EE67EC"/>
    <w:rsid w:val="00EE6A72"/>
    <w:rsid w:val="00EE6CB3"/>
    <w:rsid w:val="00EE7341"/>
    <w:rsid w:val="00EE73E3"/>
    <w:rsid w:val="00EE7B73"/>
    <w:rsid w:val="00EE7BAA"/>
    <w:rsid w:val="00EE7CE3"/>
    <w:rsid w:val="00EF0192"/>
    <w:rsid w:val="00EF02E5"/>
    <w:rsid w:val="00EF0510"/>
    <w:rsid w:val="00EF0535"/>
    <w:rsid w:val="00EF101B"/>
    <w:rsid w:val="00EF13A6"/>
    <w:rsid w:val="00EF1530"/>
    <w:rsid w:val="00EF1D5C"/>
    <w:rsid w:val="00EF2503"/>
    <w:rsid w:val="00EF3160"/>
    <w:rsid w:val="00EF3732"/>
    <w:rsid w:val="00EF37E7"/>
    <w:rsid w:val="00EF399A"/>
    <w:rsid w:val="00EF3C3B"/>
    <w:rsid w:val="00EF3E54"/>
    <w:rsid w:val="00EF43AA"/>
    <w:rsid w:val="00EF4508"/>
    <w:rsid w:val="00EF5155"/>
    <w:rsid w:val="00EF5800"/>
    <w:rsid w:val="00EF580A"/>
    <w:rsid w:val="00EF5D93"/>
    <w:rsid w:val="00EF61C5"/>
    <w:rsid w:val="00EF661D"/>
    <w:rsid w:val="00EF6974"/>
    <w:rsid w:val="00EF6CEB"/>
    <w:rsid w:val="00EF72B3"/>
    <w:rsid w:val="00EF7809"/>
    <w:rsid w:val="00EF7D76"/>
    <w:rsid w:val="00F00548"/>
    <w:rsid w:val="00F0073F"/>
    <w:rsid w:val="00F017DF"/>
    <w:rsid w:val="00F01F10"/>
    <w:rsid w:val="00F02111"/>
    <w:rsid w:val="00F0214D"/>
    <w:rsid w:val="00F0252F"/>
    <w:rsid w:val="00F026A6"/>
    <w:rsid w:val="00F02A1C"/>
    <w:rsid w:val="00F02C21"/>
    <w:rsid w:val="00F0343C"/>
    <w:rsid w:val="00F036C5"/>
    <w:rsid w:val="00F041CE"/>
    <w:rsid w:val="00F04262"/>
    <w:rsid w:val="00F04663"/>
    <w:rsid w:val="00F046C9"/>
    <w:rsid w:val="00F047B3"/>
    <w:rsid w:val="00F04C04"/>
    <w:rsid w:val="00F050A6"/>
    <w:rsid w:val="00F053FE"/>
    <w:rsid w:val="00F056F4"/>
    <w:rsid w:val="00F05A44"/>
    <w:rsid w:val="00F05C95"/>
    <w:rsid w:val="00F05CEB"/>
    <w:rsid w:val="00F05D5D"/>
    <w:rsid w:val="00F06538"/>
    <w:rsid w:val="00F0683D"/>
    <w:rsid w:val="00F06ADE"/>
    <w:rsid w:val="00F0754E"/>
    <w:rsid w:val="00F0758E"/>
    <w:rsid w:val="00F07889"/>
    <w:rsid w:val="00F10438"/>
    <w:rsid w:val="00F11300"/>
    <w:rsid w:val="00F11B49"/>
    <w:rsid w:val="00F12983"/>
    <w:rsid w:val="00F12ACD"/>
    <w:rsid w:val="00F12D09"/>
    <w:rsid w:val="00F12F8E"/>
    <w:rsid w:val="00F13027"/>
    <w:rsid w:val="00F13389"/>
    <w:rsid w:val="00F1391F"/>
    <w:rsid w:val="00F13DAC"/>
    <w:rsid w:val="00F13E4A"/>
    <w:rsid w:val="00F14111"/>
    <w:rsid w:val="00F141C6"/>
    <w:rsid w:val="00F146B3"/>
    <w:rsid w:val="00F1538F"/>
    <w:rsid w:val="00F15D6E"/>
    <w:rsid w:val="00F15FAC"/>
    <w:rsid w:val="00F16548"/>
    <w:rsid w:val="00F168D5"/>
    <w:rsid w:val="00F16A65"/>
    <w:rsid w:val="00F16F21"/>
    <w:rsid w:val="00F17400"/>
    <w:rsid w:val="00F17405"/>
    <w:rsid w:val="00F17E34"/>
    <w:rsid w:val="00F17EAD"/>
    <w:rsid w:val="00F17FF5"/>
    <w:rsid w:val="00F2017C"/>
    <w:rsid w:val="00F2073E"/>
    <w:rsid w:val="00F20768"/>
    <w:rsid w:val="00F209E0"/>
    <w:rsid w:val="00F20F7E"/>
    <w:rsid w:val="00F21405"/>
    <w:rsid w:val="00F219B6"/>
    <w:rsid w:val="00F21B0F"/>
    <w:rsid w:val="00F22343"/>
    <w:rsid w:val="00F2261C"/>
    <w:rsid w:val="00F23086"/>
    <w:rsid w:val="00F237D2"/>
    <w:rsid w:val="00F24B07"/>
    <w:rsid w:val="00F2597C"/>
    <w:rsid w:val="00F25BF4"/>
    <w:rsid w:val="00F25F38"/>
    <w:rsid w:val="00F26493"/>
    <w:rsid w:val="00F26C1F"/>
    <w:rsid w:val="00F26E8C"/>
    <w:rsid w:val="00F27185"/>
    <w:rsid w:val="00F2742D"/>
    <w:rsid w:val="00F27A3A"/>
    <w:rsid w:val="00F3048D"/>
    <w:rsid w:val="00F305FE"/>
    <w:rsid w:val="00F30684"/>
    <w:rsid w:val="00F30ED7"/>
    <w:rsid w:val="00F31029"/>
    <w:rsid w:val="00F310B4"/>
    <w:rsid w:val="00F310C4"/>
    <w:rsid w:val="00F315BD"/>
    <w:rsid w:val="00F31B5A"/>
    <w:rsid w:val="00F32595"/>
    <w:rsid w:val="00F325A4"/>
    <w:rsid w:val="00F32632"/>
    <w:rsid w:val="00F32781"/>
    <w:rsid w:val="00F32892"/>
    <w:rsid w:val="00F32A3C"/>
    <w:rsid w:val="00F332CF"/>
    <w:rsid w:val="00F334D9"/>
    <w:rsid w:val="00F33576"/>
    <w:rsid w:val="00F3367E"/>
    <w:rsid w:val="00F34101"/>
    <w:rsid w:val="00F3458C"/>
    <w:rsid w:val="00F345E2"/>
    <w:rsid w:val="00F34A5C"/>
    <w:rsid w:val="00F34B66"/>
    <w:rsid w:val="00F35759"/>
    <w:rsid w:val="00F35A58"/>
    <w:rsid w:val="00F35C3E"/>
    <w:rsid w:val="00F35CB5"/>
    <w:rsid w:val="00F35DD7"/>
    <w:rsid w:val="00F36181"/>
    <w:rsid w:val="00F3631D"/>
    <w:rsid w:val="00F363AD"/>
    <w:rsid w:val="00F36BD6"/>
    <w:rsid w:val="00F36E73"/>
    <w:rsid w:val="00F36F99"/>
    <w:rsid w:val="00F37147"/>
    <w:rsid w:val="00F37353"/>
    <w:rsid w:val="00F37F99"/>
    <w:rsid w:val="00F37FB3"/>
    <w:rsid w:val="00F40191"/>
    <w:rsid w:val="00F404C4"/>
    <w:rsid w:val="00F40684"/>
    <w:rsid w:val="00F4072C"/>
    <w:rsid w:val="00F40AEC"/>
    <w:rsid w:val="00F40B1A"/>
    <w:rsid w:val="00F414F1"/>
    <w:rsid w:val="00F41987"/>
    <w:rsid w:val="00F41FFA"/>
    <w:rsid w:val="00F4209A"/>
    <w:rsid w:val="00F424E0"/>
    <w:rsid w:val="00F42C2D"/>
    <w:rsid w:val="00F42E94"/>
    <w:rsid w:val="00F430C0"/>
    <w:rsid w:val="00F43200"/>
    <w:rsid w:val="00F43844"/>
    <w:rsid w:val="00F441BF"/>
    <w:rsid w:val="00F445A5"/>
    <w:rsid w:val="00F446CF"/>
    <w:rsid w:val="00F44C8A"/>
    <w:rsid w:val="00F44E8E"/>
    <w:rsid w:val="00F44FB7"/>
    <w:rsid w:val="00F45EE9"/>
    <w:rsid w:val="00F4645F"/>
    <w:rsid w:val="00F4690C"/>
    <w:rsid w:val="00F46AB8"/>
    <w:rsid w:val="00F46FF4"/>
    <w:rsid w:val="00F4721D"/>
    <w:rsid w:val="00F47BA2"/>
    <w:rsid w:val="00F47D11"/>
    <w:rsid w:val="00F50112"/>
    <w:rsid w:val="00F5052A"/>
    <w:rsid w:val="00F5099A"/>
    <w:rsid w:val="00F509EB"/>
    <w:rsid w:val="00F511A4"/>
    <w:rsid w:val="00F5161B"/>
    <w:rsid w:val="00F51C29"/>
    <w:rsid w:val="00F51C35"/>
    <w:rsid w:val="00F51D21"/>
    <w:rsid w:val="00F52900"/>
    <w:rsid w:val="00F52CC8"/>
    <w:rsid w:val="00F52D6F"/>
    <w:rsid w:val="00F53000"/>
    <w:rsid w:val="00F532B6"/>
    <w:rsid w:val="00F545DB"/>
    <w:rsid w:val="00F54AB4"/>
    <w:rsid w:val="00F54B84"/>
    <w:rsid w:val="00F5652A"/>
    <w:rsid w:val="00F56BF0"/>
    <w:rsid w:val="00F56DB3"/>
    <w:rsid w:val="00F56DB8"/>
    <w:rsid w:val="00F57EF8"/>
    <w:rsid w:val="00F60124"/>
    <w:rsid w:val="00F60186"/>
    <w:rsid w:val="00F601F2"/>
    <w:rsid w:val="00F6068A"/>
    <w:rsid w:val="00F60722"/>
    <w:rsid w:val="00F60B4F"/>
    <w:rsid w:val="00F60BC0"/>
    <w:rsid w:val="00F61879"/>
    <w:rsid w:val="00F61A61"/>
    <w:rsid w:val="00F62249"/>
    <w:rsid w:val="00F622D4"/>
    <w:rsid w:val="00F62780"/>
    <w:rsid w:val="00F62AC3"/>
    <w:rsid w:val="00F62BAE"/>
    <w:rsid w:val="00F632BC"/>
    <w:rsid w:val="00F63911"/>
    <w:rsid w:val="00F63B3B"/>
    <w:rsid w:val="00F64835"/>
    <w:rsid w:val="00F65116"/>
    <w:rsid w:val="00F654A9"/>
    <w:rsid w:val="00F655A8"/>
    <w:rsid w:val="00F65687"/>
    <w:rsid w:val="00F6578E"/>
    <w:rsid w:val="00F657E8"/>
    <w:rsid w:val="00F65C8B"/>
    <w:rsid w:val="00F65EA0"/>
    <w:rsid w:val="00F66066"/>
    <w:rsid w:val="00F66181"/>
    <w:rsid w:val="00F66483"/>
    <w:rsid w:val="00F66622"/>
    <w:rsid w:val="00F667B0"/>
    <w:rsid w:val="00F668B8"/>
    <w:rsid w:val="00F66ECA"/>
    <w:rsid w:val="00F6711D"/>
    <w:rsid w:val="00F67AFC"/>
    <w:rsid w:val="00F67C8B"/>
    <w:rsid w:val="00F67F16"/>
    <w:rsid w:val="00F708B7"/>
    <w:rsid w:val="00F70DB4"/>
    <w:rsid w:val="00F71A35"/>
    <w:rsid w:val="00F71B0B"/>
    <w:rsid w:val="00F72021"/>
    <w:rsid w:val="00F7217D"/>
    <w:rsid w:val="00F723BA"/>
    <w:rsid w:val="00F7251D"/>
    <w:rsid w:val="00F72629"/>
    <w:rsid w:val="00F72B0D"/>
    <w:rsid w:val="00F732A1"/>
    <w:rsid w:val="00F733E3"/>
    <w:rsid w:val="00F73BEB"/>
    <w:rsid w:val="00F742E5"/>
    <w:rsid w:val="00F74C81"/>
    <w:rsid w:val="00F7525A"/>
    <w:rsid w:val="00F75559"/>
    <w:rsid w:val="00F75747"/>
    <w:rsid w:val="00F75B28"/>
    <w:rsid w:val="00F7687B"/>
    <w:rsid w:val="00F76A68"/>
    <w:rsid w:val="00F76DC9"/>
    <w:rsid w:val="00F76E14"/>
    <w:rsid w:val="00F76E53"/>
    <w:rsid w:val="00F76E93"/>
    <w:rsid w:val="00F76E98"/>
    <w:rsid w:val="00F77239"/>
    <w:rsid w:val="00F77735"/>
    <w:rsid w:val="00F77968"/>
    <w:rsid w:val="00F77C60"/>
    <w:rsid w:val="00F77D7E"/>
    <w:rsid w:val="00F80C5C"/>
    <w:rsid w:val="00F812E4"/>
    <w:rsid w:val="00F81494"/>
    <w:rsid w:val="00F81556"/>
    <w:rsid w:val="00F816B3"/>
    <w:rsid w:val="00F81A85"/>
    <w:rsid w:val="00F825B8"/>
    <w:rsid w:val="00F82D49"/>
    <w:rsid w:val="00F82F84"/>
    <w:rsid w:val="00F834EC"/>
    <w:rsid w:val="00F83618"/>
    <w:rsid w:val="00F8386B"/>
    <w:rsid w:val="00F83BE7"/>
    <w:rsid w:val="00F83D9B"/>
    <w:rsid w:val="00F84231"/>
    <w:rsid w:val="00F84331"/>
    <w:rsid w:val="00F84732"/>
    <w:rsid w:val="00F85484"/>
    <w:rsid w:val="00F86DF7"/>
    <w:rsid w:val="00F86FC1"/>
    <w:rsid w:val="00F871A7"/>
    <w:rsid w:val="00F87428"/>
    <w:rsid w:val="00F87BF6"/>
    <w:rsid w:val="00F87DA6"/>
    <w:rsid w:val="00F9008E"/>
    <w:rsid w:val="00F9014C"/>
    <w:rsid w:val="00F90172"/>
    <w:rsid w:val="00F9054B"/>
    <w:rsid w:val="00F90931"/>
    <w:rsid w:val="00F90F17"/>
    <w:rsid w:val="00F91945"/>
    <w:rsid w:val="00F91ABE"/>
    <w:rsid w:val="00F91B95"/>
    <w:rsid w:val="00F91C29"/>
    <w:rsid w:val="00F91D9B"/>
    <w:rsid w:val="00F92095"/>
    <w:rsid w:val="00F92475"/>
    <w:rsid w:val="00F92564"/>
    <w:rsid w:val="00F92B85"/>
    <w:rsid w:val="00F92E9E"/>
    <w:rsid w:val="00F9320D"/>
    <w:rsid w:val="00F94681"/>
    <w:rsid w:val="00F948FC"/>
    <w:rsid w:val="00F94E51"/>
    <w:rsid w:val="00F9562F"/>
    <w:rsid w:val="00F95C1F"/>
    <w:rsid w:val="00F966CF"/>
    <w:rsid w:val="00F9673C"/>
    <w:rsid w:val="00F96867"/>
    <w:rsid w:val="00F969EC"/>
    <w:rsid w:val="00F97897"/>
    <w:rsid w:val="00F97E0D"/>
    <w:rsid w:val="00FA0A01"/>
    <w:rsid w:val="00FA17D0"/>
    <w:rsid w:val="00FA1A2B"/>
    <w:rsid w:val="00FA2054"/>
    <w:rsid w:val="00FA2BDD"/>
    <w:rsid w:val="00FA3397"/>
    <w:rsid w:val="00FA36A2"/>
    <w:rsid w:val="00FA36F1"/>
    <w:rsid w:val="00FA3823"/>
    <w:rsid w:val="00FA3A7F"/>
    <w:rsid w:val="00FA3CCD"/>
    <w:rsid w:val="00FA3FA8"/>
    <w:rsid w:val="00FA4574"/>
    <w:rsid w:val="00FA4614"/>
    <w:rsid w:val="00FA4A83"/>
    <w:rsid w:val="00FA4BCD"/>
    <w:rsid w:val="00FA4DEE"/>
    <w:rsid w:val="00FA548B"/>
    <w:rsid w:val="00FA5D26"/>
    <w:rsid w:val="00FA66B6"/>
    <w:rsid w:val="00FA66E8"/>
    <w:rsid w:val="00FA67F1"/>
    <w:rsid w:val="00FA6A46"/>
    <w:rsid w:val="00FA72C6"/>
    <w:rsid w:val="00FA73A9"/>
    <w:rsid w:val="00FA754B"/>
    <w:rsid w:val="00FA775E"/>
    <w:rsid w:val="00FA7DAE"/>
    <w:rsid w:val="00FA7DD1"/>
    <w:rsid w:val="00FB00AC"/>
    <w:rsid w:val="00FB0954"/>
    <w:rsid w:val="00FB09EA"/>
    <w:rsid w:val="00FB0FD2"/>
    <w:rsid w:val="00FB1915"/>
    <w:rsid w:val="00FB2270"/>
    <w:rsid w:val="00FB2520"/>
    <w:rsid w:val="00FB2E03"/>
    <w:rsid w:val="00FB334A"/>
    <w:rsid w:val="00FB365B"/>
    <w:rsid w:val="00FB37BF"/>
    <w:rsid w:val="00FB3A23"/>
    <w:rsid w:val="00FB4297"/>
    <w:rsid w:val="00FB483F"/>
    <w:rsid w:val="00FB5438"/>
    <w:rsid w:val="00FB63A1"/>
    <w:rsid w:val="00FB647E"/>
    <w:rsid w:val="00FB7132"/>
    <w:rsid w:val="00FB728B"/>
    <w:rsid w:val="00FB73A9"/>
    <w:rsid w:val="00FB74BA"/>
    <w:rsid w:val="00FB761E"/>
    <w:rsid w:val="00FC00FE"/>
    <w:rsid w:val="00FC09CC"/>
    <w:rsid w:val="00FC0D80"/>
    <w:rsid w:val="00FC1178"/>
    <w:rsid w:val="00FC1231"/>
    <w:rsid w:val="00FC131F"/>
    <w:rsid w:val="00FC18A7"/>
    <w:rsid w:val="00FC1C51"/>
    <w:rsid w:val="00FC1CD2"/>
    <w:rsid w:val="00FC1E42"/>
    <w:rsid w:val="00FC2306"/>
    <w:rsid w:val="00FC28A0"/>
    <w:rsid w:val="00FC349C"/>
    <w:rsid w:val="00FC350A"/>
    <w:rsid w:val="00FC3797"/>
    <w:rsid w:val="00FC3AE6"/>
    <w:rsid w:val="00FC3B23"/>
    <w:rsid w:val="00FC3CA1"/>
    <w:rsid w:val="00FC4522"/>
    <w:rsid w:val="00FC45D0"/>
    <w:rsid w:val="00FC46A3"/>
    <w:rsid w:val="00FC4846"/>
    <w:rsid w:val="00FC4923"/>
    <w:rsid w:val="00FC4ADD"/>
    <w:rsid w:val="00FC4ADF"/>
    <w:rsid w:val="00FC4D13"/>
    <w:rsid w:val="00FC4E38"/>
    <w:rsid w:val="00FC50B1"/>
    <w:rsid w:val="00FC5894"/>
    <w:rsid w:val="00FC5AE1"/>
    <w:rsid w:val="00FC5B8D"/>
    <w:rsid w:val="00FC5C70"/>
    <w:rsid w:val="00FC5CD6"/>
    <w:rsid w:val="00FC5CD8"/>
    <w:rsid w:val="00FC5DE3"/>
    <w:rsid w:val="00FC67E5"/>
    <w:rsid w:val="00FC6D7F"/>
    <w:rsid w:val="00FC6DD7"/>
    <w:rsid w:val="00FC6F19"/>
    <w:rsid w:val="00FC7130"/>
    <w:rsid w:val="00FC74B0"/>
    <w:rsid w:val="00FC7C29"/>
    <w:rsid w:val="00FD0127"/>
    <w:rsid w:val="00FD0173"/>
    <w:rsid w:val="00FD0234"/>
    <w:rsid w:val="00FD02FD"/>
    <w:rsid w:val="00FD0A2D"/>
    <w:rsid w:val="00FD0E84"/>
    <w:rsid w:val="00FD120E"/>
    <w:rsid w:val="00FD2033"/>
    <w:rsid w:val="00FD28F8"/>
    <w:rsid w:val="00FD404F"/>
    <w:rsid w:val="00FD43A9"/>
    <w:rsid w:val="00FD4B80"/>
    <w:rsid w:val="00FD4C1F"/>
    <w:rsid w:val="00FD5308"/>
    <w:rsid w:val="00FD54C7"/>
    <w:rsid w:val="00FD5996"/>
    <w:rsid w:val="00FD5C43"/>
    <w:rsid w:val="00FD5D3F"/>
    <w:rsid w:val="00FD66C4"/>
    <w:rsid w:val="00FD6C71"/>
    <w:rsid w:val="00FD706C"/>
    <w:rsid w:val="00FD711C"/>
    <w:rsid w:val="00FD72D3"/>
    <w:rsid w:val="00FD771D"/>
    <w:rsid w:val="00FD775D"/>
    <w:rsid w:val="00FD7918"/>
    <w:rsid w:val="00FD7B10"/>
    <w:rsid w:val="00FD7CE6"/>
    <w:rsid w:val="00FD7E07"/>
    <w:rsid w:val="00FD7ED1"/>
    <w:rsid w:val="00FD7F3F"/>
    <w:rsid w:val="00FE172D"/>
    <w:rsid w:val="00FE2260"/>
    <w:rsid w:val="00FE2B41"/>
    <w:rsid w:val="00FE2B66"/>
    <w:rsid w:val="00FE305B"/>
    <w:rsid w:val="00FE3377"/>
    <w:rsid w:val="00FE36B4"/>
    <w:rsid w:val="00FE3C9D"/>
    <w:rsid w:val="00FE3F64"/>
    <w:rsid w:val="00FE4D9F"/>
    <w:rsid w:val="00FE4F0D"/>
    <w:rsid w:val="00FE5B16"/>
    <w:rsid w:val="00FE607B"/>
    <w:rsid w:val="00FE6182"/>
    <w:rsid w:val="00FE6991"/>
    <w:rsid w:val="00FE7255"/>
    <w:rsid w:val="00FE7711"/>
    <w:rsid w:val="00FE7864"/>
    <w:rsid w:val="00FE7A48"/>
    <w:rsid w:val="00FF0050"/>
    <w:rsid w:val="00FF0086"/>
    <w:rsid w:val="00FF0736"/>
    <w:rsid w:val="00FF09C9"/>
    <w:rsid w:val="00FF0DED"/>
    <w:rsid w:val="00FF0F38"/>
    <w:rsid w:val="00FF1030"/>
    <w:rsid w:val="00FF11EE"/>
    <w:rsid w:val="00FF1FAB"/>
    <w:rsid w:val="00FF2133"/>
    <w:rsid w:val="00FF23C2"/>
    <w:rsid w:val="00FF295D"/>
    <w:rsid w:val="00FF2A63"/>
    <w:rsid w:val="00FF2B68"/>
    <w:rsid w:val="00FF2C26"/>
    <w:rsid w:val="00FF2D4E"/>
    <w:rsid w:val="00FF3348"/>
    <w:rsid w:val="00FF38D4"/>
    <w:rsid w:val="00FF3946"/>
    <w:rsid w:val="00FF3DE6"/>
    <w:rsid w:val="00FF4CB7"/>
    <w:rsid w:val="00FF4E7E"/>
    <w:rsid w:val="00FF5CEE"/>
    <w:rsid w:val="00FF62D7"/>
    <w:rsid w:val="00FF6948"/>
    <w:rsid w:val="00FF6D7B"/>
    <w:rsid w:val="00FF6ED2"/>
    <w:rsid w:val="00FF718C"/>
    <w:rsid w:val="00FF73E5"/>
    <w:rsid w:val="00FF77DC"/>
    <w:rsid w:val="00FF7C13"/>
    <w:rsid w:val="00FF7CAE"/>
    <w:rsid w:val="016B1141"/>
    <w:rsid w:val="017B569D"/>
    <w:rsid w:val="01D00C17"/>
    <w:rsid w:val="01F35441"/>
    <w:rsid w:val="02891497"/>
    <w:rsid w:val="02C24C83"/>
    <w:rsid w:val="02FE6C09"/>
    <w:rsid w:val="038E134E"/>
    <w:rsid w:val="03F04E05"/>
    <w:rsid w:val="042070BD"/>
    <w:rsid w:val="04242AD4"/>
    <w:rsid w:val="04276E78"/>
    <w:rsid w:val="04A55C57"/>
    <w:rsid w:val="04B15D38"/>
    <w:rsid w:val="05B46130"/>
    <w:rsid w:val="05D34212"/>
    <w:rsid w:val="065A02D2"/>
    <w:rsid w:val="066178E8"/>
    <w:rsid w:val="06A1385E"/>
    <w:rsid w:val="070E2C73"/>
    <w:rsid w:val="07420103"/>
    <w:rsid w:val="078E0B6F"/>
    <w:rsid w:val="07A1540E"/>
    <w:rsid w:val="088C5640"/>
    <w:rsid w:val="08942FFD"/>
    <w:rsid w:val="08C97E04"/>
    <w:rsid w:val="09277251"/>
    <w:rsid w:val="0933123C"/>
    <w:rsid w:val="09612F13"/>
    <w:rsid w:val="0A793B4D"/>
    <w:rsid w:val="0AD11ECB"/>
    <w:rsid w:val="0AFA6591"/>
    <w:rsid w:val="0B0C31E6"/>
    <w:rsid w:val="0B672D35"/>
    <w:rsid w:val="0B717C77"/>
    <w:rsid w:val="0B997E74"/>
    <w:rsid w:val="0BDE1B69"/>
    <w:rsid w:val="0BE348D1"/>
    <w:rsid w:val="0C1436B0"/>
    <w:rsid w:val="0C6F0DFE"/>
    <w:rsid w:val="0CAD68F9"/>
    <w:rsid w:val="0D132F2F"/>
    <w:rsid w:val="0D1624C5"/>
    <w:rsid w:val="0D396755"/>
    <w:rsid w:val="0D612203"/>
    <w:rsid w:val="0D6949DD"/>
    <w:rsid w:val="0D9D6AF5"/>
    <w:rsid w:val="0DAD4881"/>
    <w:rsid w:val="0E316849"/>
    <w:rsid w:val="0E855775"/>
    <w:rsid w:val="0EB811D7"/>
    <w:rsid w:val="0F046A49"/>
    <w:rsid w:val="0F345661"/>
    <w:rsid w:val="0F43106C"/>
    <w:rsid w:val="0F6A6D2B"/>
    <w:rsid w:val="0FC85D62"/>
    <w:rsid w:val="10673F78"/>
    <w:rsid w:val="10984392"/>
    <w:rsid w:val="10F36B9B"/>
    <w:rsid w:val="11370240"/>
    <w:rsid w:val="11563F38"/>
    <w:rsid w:val="1157668D"/>
    <w:rsid w:val="11931CCD"/>
    <w:rsid w:val="11A45B20"/>
    <w:rsid w:val="1282606E"/>
    <w:rsid w:val="12E37A40"/>
    <w:rsid w:val="12E5305F"/>
    <w:rsid w:val="13137DEE"/>
    <w:rsid w:val="13483AB2"/>
    <w:rsid w:val="134C6571"/>
    <w:rsid w:val="136410CA"/>
    <w:rsid w:val="13766074"/>
    <w:rsid w:val="13AC5423"/>
    <w:rsid w:val="13CB11D5"/>
    <w:rsid w:val="13E630AD"/>
    <w:rsid w:val="14036E93"/>
    <w:rsid w:val="140923FC"/>
    <w:rsid w:val="141476FE"/>
    <w:rsid w:val="14407171"/>
    <w:rsid w:val="148218FE"/>
    <w:rsid w:val="14BD4042"/>
    <w:rsid w:val="15E04D1D"/>
    <w:rsid w:val="16502B86"/>
    <w:rsid w:val="169C219E"/>
    <w:rsid w:val="16B11A9E"/>
    <w:rsid w:val="173A7902"/>
    <w:rsid w:val="17446A38"/>
    <w:rsid w:val="17494FB8"/>
    <w:rsid w:val="174C3A48"/>
    <w:rsid w:val="1756506A"/>
    <w:rsid w:val="176B459A"/>
    <w:rsid w:val="178349DE"/>
    <w:rsid w:val="17D345EA"/>
    <w:rsid w:val="18474B5B"/>
    <w:rsid w:val="184C1051"/>
    <w:rsid w:val="1876442F"/>
    <w:rsid w:val="187D73BE"/>
    <w:rsid w:val="18EC5490"/>
    <w:rsid w:val="19E01C28"/>
    <w:rsid w:val="19E7558B"/>
    <w:rsid w:val="19F4540E"/>
    <w:rsid w:val="1A195F32"/>
    <w:rsid w:val="1A2574DE"/>
    <w:rsid w:val="1A2D768C"/>
    <w:rsid w:val="1A331F2E"/>
    <w:rsid w:val="1A413668"/>
    <w:rsid w:val="1A753EF5"/>
    <w:rsid w:val="1A8C4A7F"/>
    <w:rsid w:val="1AD72371"/>
    <w:rsid w:val="1AE84433"/>
    <w:rsid w:val="1B117086"/>
    <w:rsid w:val="1B1D6CDD"/>
    <w:rsid w:val="1B5250FA"/>
    <w:rsid w:val="1B711E75"/>
    <w:rsid w:val="1B7606B6"/>
    <w:rsid w:val="1BC06AAD"/>
    <w:rsid w:val="1BF96B3E"/>
    <w:rsid w:val="1C2558E4"/>
    <w:rsid w:val="1C534B92"/>
    <w:rsid w:val="1C6E53AF"/>
    <w:rsid w:val="1C94741D"/>
    <w:rsid w:val="1CA5284C"/>
    <w:rsid w:val="1CDF258C"/>
    <w:rsid w:val="1CE32817"/>
    <w:rsid w:val="1D105D78"/>
    <w:rsid w:val="1D4B3234"/>
    <w:rsid w:val="1E336622"/>
    <w:rsid w:val="1E451260"/>
    <w:rsid w:val="1E997DFD"/>
    <w:rsid w:val="1EE91306"/>
    <w:rsid w:val="1F1C1BA1"/>
    <w:rsid w:val="1F2B20F5"/>
    <w:rsid w:val="1F99187C"/>
    <w:rsid w:val="1FC6411D"/>
    <w:rsid w:val="202B6A28"/>
    <w:rsid w:val="203F3E8A"/>
    <w:rsid w:val="20586099"/>
    <w:rsid w:val="209F6AE1"/>
    <w:rsid w:val="20EA4BBF"/>
    <w:rsid w:val="211C6896"/>
    <w:rsid w:val="21C101AB"/>
    <w:rsid w:val="21EC14EC"/>
    <w:rsid w:val="22C60F74"/>
    <w:rsid w:val="23831780"/>
    <w:rsid w:val="23911B46"/>
    <w:rsid w:val="23F30ACC"/>
    <w:rsid w:val="257A4A42"/>
    <w:rsid w:val="25D560AC"/>
    <w:rsid w:val="26480FF3"/>
    <w:rsid w:val="26BD2C8E"/>
    <w:rsid w:val="26E87267"/>
    <w:rsid w:val="26F816AF"/>
    <w:rsid w:val="2702581E"/>
    <w:rsid w:val="27041118"/>
    <w:rsid w:val="27055925"/>
    <w:rsid w:val="27070F1A"/>
    <w:rsid w:val="27227D47"/>
    <w:rsid w:val="27287CFF"/>
    <w:rsid w:val="273E0AFB"/>
    <w:rsid w:val="27564EAE"/>
    <w:rsid w:val="2788674F"/>
    <w:rsid w:val="281F6A72"/>
    <w:rsid w:val="288903F9"/>
    <w:rsid w:val="29020B19"/>
    <w:rsid w:val="2976645A"/>
    <w:rsid w:val="29A66B9A"/>
    <w:rsid w:val="29A720CD"/>
    <w:rsid w:val="2A350D92"/>
    <w:rsid w:val="2A4F3B41"/>
    <w:rsid w:val="2A550235"/>
    <w:rsid w:val="2A70204F"/>
    <w:rsid w:val="2A9F19FC"/>
    <w:rsid w:val="2AAD15A9"/>
    <w:rsid w:val="2AEF4F5A"/>
    <w:rsid w:val="2AEF5D4B"/>
    <w:rsid w:val="2AF330B4"/>
    <w:rsid w:val="2AFE68AB"/>
    <w:rsid w:val="2B090BEB"/>
    <w:rsid w:val="2B4A185A"/>
    <w:rsid w:val="2B66465E"/>
    <w:rsid w:val="2B823D99"/>
    <w:rsid w:val="2B972D64"/>
    <w:rsid w:val="2BC674EA"/>
    <w:rsid w:val="2BDF571B"/>
    <w:rsid w:val="2C66499B"/>
    <w:rsid w:val="2C6B17C7"/>
    <w:rsid w:val="2CD92D9C"/>
    <w:rsid w:val="2CDD5415"/>
    <w:rsid w:val="2CE70EA1"/>
    <w:rsid w:val="2D1A515E"/>
    <w:rsid w:val="2D372EFD"/>
    <w:rsid w:val="2D3E3F20"/>
    <w:rsid w:val="2D5A281C"/>
    <w:rsid w:val="2D6A7911"/>
    <w:rsid w:val="2D6C7214"/>
    <w:rsid w:val="2D822BC7"/>
    <w:rsid w:val="2DC51C5C"/>
    <w:rsid w:val="2E595A03"/>
    <w:rsid w:val="2ED1273B"/>
    <w:rsid w:val="2F083A6E"/>
    <w:rsid w:val="301D7111"/>
    <w:rsid w:val="303C6B27"/>
    <w:rsid w:val="307351D1"/>
    <w:rsid w:val="309D684C"/>
    <w:rsid w:val="30DF2B31"/>
    <w:rsid w:val="31544AE7"/>
    <w:rsid w:val="3166141B"/>
    <w:rsid w:val="318907EB"/>
    <w:rsid w:val="319155BB"/>
    <w:rsid w:val="322A755F"/>
    <w:rsid w:val="32A911CA"/>
    <w:rsid w:val="32B214E9"/>
    <w:rsid w:val="32B54787"/>
    <w:rsid w:val="33131370"/>
    <w:rsid w:val="33164701"/>
    <w:rsid w:val="333806C8"/>
    <w:rsid w:val="333A2A4D"/>
    <w:rsid w:val="33A230C4"/>
    <w:rsid w:val="33B56721"/>
    <w:rsid w:val="33FF7AC9"/>
    <w:rsid w:val="3411308D"/>
    <w:rsid w:val="34341275"/>
    <w:rsid w:val="343E0404"/>
    <w:rsid w:val="34A418E0"/>
    <w:rsid w:val="351464FB"/>
    <w:rsid w:val="35175227"/>
    <w:rsid w:val="35690265"/>
    <w:rsid w:val="35B471A5"/>
    <w:rsid w:val="3602347F"/>
    <w:rsid w:val="36100DEE"/>
    <w:rsid w:val="361E5257"/>
    <w:rsid w:val="36A41CFC"/>
    <w:rsid w:val="36D9605E"/>
    <w:rsid w:val="36F310B9"/>
    <w:rsid w:val="37756A0B"/>
    <w:rsid w:val="37C567A9"/>
    <w:rsid w:val="38885F1A"/>
    <w:rsid w:val="38AC352F"/>
    <w:rsid w:val="38BB221B"/>
    <w:rsid w:val="38D2453D"/>
    <w:rsid w:val="38DB335F"/>
    <w:rsid w:val="39034A87"/>
    <w:rsid w:val="39485924"/>
    <w:rsid w:val="398E0B08"/>
    <w:rsid w:val="39C47491"/>
    <w:rsid w:val="39DC6477"/>
    <w:rsid w:val="3A414402"/>
    <w:rsid w:val="3A453EA3"/>
    <w:rsid w:val="3A4F418E"/>
    <w:rsid w:val="3A6F5087"/>
    <w:rsid w:val="3A773FED"/>
    <w:rsid w:val="3AC61EE1"/>
    <w:rsid w:val="3B287684"/>
    <w:rsid w:val="3B4D3692"/>
    <w:rsid w:val="3B5A6261"/>
    <w:rsid w:val="3C185036"/>
    <w:rsid w:val="3C52053D"/>
    <w:rsid w:val="3C8D3C33"/>
    <w:rsid w:val="3C94716C"/>
    <w:rsid w:val="3CEC2A7C"/>
    <w:rsid w:val="3D031376"/>
    <w:rsid w:val="3D32776C"/>
    <w:rsid w:val="3D4C7D7E"/>
    <w:rsid w:val="3D794651"/>
    <w:rsid w:val="3D8C6D07"/>
    <w:rsid w:val="3D947997"/>
    <w:rsid w:val="3D9950AA"/>
    <w:rsid w:val="3DC84FD3"/>
    <w:rsid w:val="3DEB3106"/>
    <w:rsid w:val="3E0F1B94"/>
    <w:rsid w:val="3E503BEF"/>
    <w:rsid w:val="3E5C5C9A"/>
    <w:rsid w:val="3F037057"/>
    <w:rsid w:val="3F0E5202"/>
    <w:rsid w:val="3F171D6A"/>
    <w:rsid w:val="3F3B7314"/>
    <w:rsid w:val="3F5E5375"/>
    <w:rsid w:val="3F920F86"/>
    <w:rsid w:val="3FC30FF0"/>
    <w:rsid w:val="3FDF64CC"/>
    <w:rsid w:val="3FFA5FA1"/>
    <w:rsid w:val="40491932"/>
    <w:rsid w:val="40516596"/>
    <w:rsid w:val="408A2036"/>
    <w:rsid w:val="40BA06B3"/>
    <w:rsid w:val="40BE58C5"/>
    <w:rsid w:val="40EB7283"/>
    <w:rsid w:val="40F620C0"/>
    <w:rsid w:val="41317BA0"/>
    <w:rsid w:val="41351797"/>
    <w:rsid w:val="414D20AB"/>
    <w:rsid w:val="418B7BD5"/>
    <w:rsid w:val="41AA2BE3"/>
    <w:rsid w:val="41C70178"/>
    <w:rsid w:val="41F14991"/>
    <w:rsid w:val="41FD7189"/>
    <w:rsid w:val="42322EC9"/>
    <w:rsid w:val="42671E75"/>
    <w:rsid w:val="42B0545A"/>
    <w:rsid w:val="43320184"/>
    <w:rsid w:val="437849F9"/>
    <w:rsid w:val="43810DF8"/>
    <w:rsid w:val="438E7BDA"/>
    <w:rsid w:val="43E548CD"/>
    <w:rsid w:val="447A64B0"/>
    <w:rsid w:val="44B97171"/>
    <w:rsid w:val="44CF0F69"/>
    <w:rsid w:val="44EA6E61"/>
    <w:rsid w:val="451A3F70"/>
    <w:rsid w:val="4530459E"/>
    <w:rsid w:val="455F620C"/>
    <w:rsid w:val="45685681"/>
    <w:rsid w:val="460E01A7"/>
    <w:rsid w:val="46507D44"/>
    <w:rsid w:val="467C68B4"/>
    <w:rsid w:val="46CB68FA"/>
    <w:rsid w:val="472A3C46"/>
    <w:rsid w:val="47514506"/>
    <w:rsid w:val="4751654D"/>
    <w:rsid w:val="476B4B41"/>
    <w:rsid w:val="47816245"/>
    <w:rsid w:val="47E260CF"/>
    <w:rsid w:val="47E51C29"/>
    <w:rsid w:val="47E82329"/>
    <w:rsid w:val="47E856B4"/>
    <w:rsid w:val="4811792D"/>
    <w:rsid w:val="481674BF"/>
    <w:rsid w:val="48274AEC"/>
    <w:rsid w:val="4861104C"/>
    <w:rsid w:val="48662F81"/>
    <w:rsid w:val="486763D9"/>
    <w:rsid w:val="4873054D"/>
    <w:rsid w:val="48B07B2D"/>
    <w:rsid w:val="490E45F2"/>
    <w:rsid w:val="493A7700"/>
    <w:rsid w:val="493E1722"/>
    <w:rsid w:val="4946228A"/>
    <w:rsid w:val="494D274E"/>
    <w:rsid w:val="49592085"/>
    <w:rsid w:val="4981750C"/>
    <w:rsid w:val="498B0CE0"/>
    <w:rsid w:val="49F56FCC"/>
    <w:rsid w:val="49F928D0"/>
    <w:rsid w:val="4A1B2797"/>
    <w:rsid w:val="4A82565F"/>
    <w:rsid w:val="4AC90137"/>
    <w:rsid w:val="4B582F60"/>
    <w:rsid w:val="4B61467A"/>
    <w:rsid w:val="4B6F3060"/>
    <w:rsid w:val="4B8E66EF"/>
    <w:rsid w:val="4BCD333B"/>
    <w:rsid w:val="4BCF0AEE"/>
    <w:rsid w:val="4BDE5DF3"/>
    <w:rsid w:val="4BF669E4"/>
    <w:rsid w:val="4BFB2CF6"/>
    <w:rsid w:val="4BFE3487"/>
    <w:rsid w:val="4C2D206A"/>
    <w:rsid w:val="4C4C1F46"/>
    <w:rsid w:val="4C5E75AD"/>
    <w:rsid w:val="4CCE4EBD"/>
    <w:rsid w:val="4CF3466E"/>
    <w:rsid w:val="4D2E34E0"/>
    <w:rsid w:val="4D935D2E"/>
    <w:rsid w:val="4DE14866"/>
    <w:rsid w:val="4E421C97"/>
    <w:rsid w:val="4E533344"/>
    <w:rsid w:val="4EA43A9F"/>
    <w:rsid w:val="4F34595B"/>
    <w:rsid w:val="4F4A348F"/>
    <w:rsid w:val="50BA41B1"/>
    <w:rsid w:val="51254C81"/>
    <w:rsid w:val="517B0774"/>
    <w:rsid w:val="51F411FA"/>
    <w:rsid w:val="526C77D7"/>
    <w:rsid w:val="5274193A"/>
    <w:rsid w:val="52FE4F0B"/>
    <w:rsid w:val="53045C41"/>
    <w:rsid w:val="53322219"/>
    <w:rsid w:val="534469AF"/>
    <w:rsid w:val="535813CD"/>
    <w:rsid w:val="535A657B"/>
    <w:rsid w:val="536B2998"/>
    <w:rsid w:val="537B5903"/>
    <w:rsid w:val="53FD2CD0"/>
    <w:rsid w:val="549D1EB0"/>
    <w:rsid w:val="54AC5888"/>
    <w:rsid w:val="54C73F50"/>
    <w:rsid w:val="550B3C00"/>
    <w:rsid w:val="559B37B2"/>
    <w:rsid w:val="559D01B3"/>
    <w:rsid w:val="55E36D0B"/>
    <w:rsid w:val="56066326"/>
    <w:rsid w:val="56815053"/>
    <w:rsid w:val="56D94B4D"/>
    <w:rsid w:val="571F78F3"/>
    <w:rsid w:val="57235785"/>
    <w:rsid w:val="575E3F1C"/>
    <w:rsid w:val="57AE28EC"/>
    <w:rsid w:val="57ED1903"/>
    <w:rsid w:val="58124DC3"/>
    <w:rsid w:val="584A60C0"/>
    <w:rsid w:val="589659CA"/>
    <w:rsid w:val="58BF398F"/>
    <w:rsid w:val="58DE262B"/>
    <w:rsid w:val="592572CA"/>
    <w:rsid w:val="5A3A7419"/>
    <w:rsid w:val="5A5A1E61"/>
    <w:rsid w:val="5A5B2A18"/>
    <w:rsid w:val="5AD9687D"/>
    <w:rsid w:val="5AE6005A"/>
    <w:rsid w:val="5B411E5D"/>
    <w:rsid w:val="5BAE3EB0"/>
    <w:rsid w:val="5C07441B"/>
    <w:rsid w:val="5C0D07BD"/>
    <w:rsid w:val="5C2D2AB6"/>
    <w:rsid w:val="5C4D4D14"/>
    <w:rsid w:val="5C5263DE"/>
    <w:rsid w:val="5C6F397E"/>
    <w:rsid w:val="5CA24E74"/>
    <w:rsid w:val="5CE83E90"/>
    <w:rsid w:val="5CF87558"/>
    <w:rsid w:val="5D317E0F"/>
    <w:rsid w:val="5D4D49D6"/>
    <w:rsid w:val="5DC74DE1"/>
    <w:rsid w:val="5DFD7A64"/>
    <w:rsid w:val="5E103825"/>
    <w:rsid w:val="5E1C664B"/>
    <w:rsid w:val="5E215E49"/>
    <w:rsid w:val="5E3E6161"/>
    <w:rsid w:val="5E723019"/>
    <w:rsid w:val="5EAB06A5"/>
    <w:rsid w:val="5F117629"/>
    <w:rsid w:val="5F730868"/>
    <w:rsid w:val="5F9F4716"/>
    <w:rsid w:val="5FC9626D"/>
    <w:rsid w:val="60014ABB"/>
    <w:rsid w:val="60050DD3"/>
    <w:rsid w:val="603C5ED5"/>
    <w:rsid w:val="606C5570"/>
    <w:rsid w:val="609D0AC8"/>
    <w:rsid w:val="60A77EDE"/>
    <w:rsid w:val="60D240A2"/>
    <w:rsid w:val="60E81B5D"/>
    <w:rsid w:val="60EB7288"/>
    <w:rsid w:val="61187A15"/>
    <w:rsid w:val="613655DF"/>
    <w:rsid w:val="613F7C8B"/>
    <w:rsid w:val="61A61FBB"/>
    <w:rsid w:val="62593D94"/>
    <w:rsid w:val="627B024C"/>
    <w:rsid w:val="638220DD"/>
    <w:rsid w:val="63AB62C9"/>
    <w:rsid w:val="63BF6533"/>
    <w:rsid w:val="63F90E6D"/>
    <w:rsid w:val="63FF170A"/>
    <w:rsid w:val="643C66ED"/>
    <w:rsid w:val="64486E34"/>
    <w:rsid w:val="64750162"/>
    <w:rsid w:val="650F148F"/>
    <w:rsid w:val="655D3412"/>
    <w:rsid w:val="66121A75"/>
    <w:rsid w:val="6640491C"/>
    <w:rsid w:val="66BB2251"/>
    <w:rsid w:val="66D435C2"/>
    <w:rsid w:val="67416D32"/>
    <w:rsid w:val="67A905C7"/>
    <w:rsid w:val="67B977EF"/>
    <w:rsid w:val="6802374F"/>
    <w:rsid w:val="683B7444"/>
    <w:rsid w:val="683F1510"/>
    <w:rsid w:val="688370CD"/>
    <w:rsid w:val="68AB2F07"/>
    <w:rsid w:val="68EE415B"/>
    <w:rsid w:val="69406A59"/>
    <w:rsid w:val="69A825EB"/>
    <w:rsid w:val="69A94F6A"/>
    <w:rsid w:val="69EF3A68"/>
    <w:rsid w:val="6A37337F"/>
    <w:rsid w:val="6AAC0A2E"/>
    <w:rsid w:val="6AFD7FF7"/>
    <w:rsid w:val="6B310A25"/>
    <w:rsid w:val="6B331C8F"/>
    <w:rsid w:val="6B4D10E3"/>
    <w:rsid w:val="6B8F059E"/>
    <w:rsid w:val="6BC75D6A"/>
    <w:rsid w:val="6CA860B5"/>
    <w:rsid w:val="6CF46964"/>
    <w:rsid w:val="6D0A14BC"/>
    <w:rsid w:val="6D0C10F7"/>
    <w:rsid w:val="6D4D4498"/>
    <w:rsid w:val="6DDE27D0"/>
    <w:rsid w:val="6E111C91"/>
    <w:rsid w:val="6E2540E6"/>
    <w:rsid w:val="6E3C1431"/>
    <w:rsid w:val="6E623FC4"/>
    <w:rsid w:val="6F700E2B"/>
    <w:rsid w:val="6F9A73F3"/>
    <w:rsid w:val="6FDD2296"/>
    <w:rsid w:val="6FFA7FF3"/>
    <w:rsid w:val="704950EA"/>
    <w:rsid w:val="70B646B2"/>
    <w:rsid w:val="70FA12BF"/>
    <w:rsid w:val="71950A52"/>
    <w:rsid w:val="719D2FA2"/>
    <w:rsid w:val="719E1196"/>
    <w:rsid w:val="71A81EEF"/>
    <w:rsid w:val="71CA07BD"/>
    <w:rsid w:val="71EF08C0"/>
    <w:rsid w:val="72175EC4"/>
    <w:rsid w:val="726614CA"/>
    <w:rsid w:val="72713BD9"/>
    <w:rsid w:val="72A76788"/>
    <w:rsid w:val="72B10E82"/>
    <w:rsid w:val="72CB3CAC"/>
    <w:rsid w:val="72ED586B"/>
    <w:rsid w:val="73017BC9"/>
    <w:rsid w:val="73181CD0"/>
    <w:rsid w:val="732F462C"/>
    <w:rsid w:val="73426B2A"/>
    <w:rsid w:val="735F7F9D"/>
    <w:rsid w:val="737934A2"/>
    <w:rsid w:val="73A97FA1"/>
    <w:rsid w:val="74620243"/>
    <w:rsid w:val="7475039B"/>
    <w:rsid w:val="74C436A5"/>
    <w:rsid w:val="75033AEB"/>
    <w:rsid w:val="751A3C71"/>
    <w:rsid w:val="752F7328"/>
    <w:rsid w:val="754D4A0B"/>
    <w:rsid w:val="75517434"/>
    <w:rsid w:val="757A05B0"/>
    <w:rsid w:val="757C7F8A"/>
    <w:rsid w:val="758D759A"/>
    <w:rsid w:val="75B40EBF"/>
    <w:rsid w:val="75BD20E1"/>
    <w:rsid w:val="769679F2"/>
    <w:rsid w:val="774A04E8"/>
    <w:rsid w:val="77587608"/>
    <w:rsid w:val="7780195B"/>
    <w:rsid w:val="778B6844"/>
    <w:rsid w:val="77D21664"/>
    <w:rsid w:val="786F74DC"/>
    <w:rsid w:val="78E1125F"/>
    <w:rsid w:val="79024315"/>
    <w:rsid w:val="792979DA"/>
    <w:rsid w:val="793A2870"/>
    <w:rsid w:val="793D76F7"/>
    <w:rsid w:val="79464E14"/>
    <w:rsid w:val="7952184F"/>
    <w:rsid w:val="79854CEA"/>
    <w:rsid w:val="79F26992"/>
    <w:rsid w:val="7A0E456C"/>
    <w:rsid w:val="7A0E5D19"/>
    <w:rsid w:val="7AED2DCE"/>
    <w:rsid w:val="7B13112B"/>
    <w:rsid w:val="7B22638A"/>
    <w:rsid w:val="7B4316EB"/>
    <w:rsid w:val="7B8466C6"/>
    <w:rsid w:val="7B9826D1"/>
    <w:rsid w:val="7B9A22FE"/>
    <w:rsid w:val="7BD6383B"/>
    <w:rsid w:val="7BFC6A34"/>
    <w:rsid w:val="7C8576F5"/>
    <w:rsid w:val="7CAC1950"/>
    <w:rsid w:val="7D2D2BED"/>
    <w:rsid w:val="7D8F060E"/>
    <w:rsid w:val="7DA42CC5"/>
    <w:rsid w:val="7DB341A2"/>
    <w:rsid w:val="7DD81CFC"/>
    <w:rsid w:val="7DE051B4"/>
    <w:rsid w:val="7E3D2E66"/>
    <w:rsid w:val="7E927F10"/>
    <w:rsid w:val="7EBA6561"/>
    <w:rsid w:val="7ED71E0F"/>
    <w:rsid w:val="7F0D36AB"/>
    <w:rsid w:val="7F4A2C46"/>
    <w:rsid w:val="7F600E54"/>
    <w:rsid w:val="7F9F08AF"/>
    <w:rsid w:val="7FED79CB"/>
    <w:rsid w:val="7FF269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qFormat="1" w:unhideWhenUsed="0"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uiPriority="99"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宋体" w:hAnsi="宋体" w:eastAsia="宋体" w:cs="宋体"/>
      <w:sz w:val="24"/>
      <w:szCs w:val="24"/>
      <w:lang w:val="en-US" w:eastAsia="zh-CN" w:bidi="ar-SA"/>
    </w:rPr>
  </w:style>
  <w:style w:type="paragraph" w:styleId="2">
    <w:name w:val="heading 1"/>
    <w:basedOn w:val="1"/>
    <w:next w:val="1"/>
    <w:link w:val="94"/>
    <w:qFormat/>
    <w:uiPriority w:val="99"/>
    <w:pPr>
      <w:keepNext/>
      <w:keepLines/>
      <w:widowControl w:val="0"/>
      <w:spacing w:before="340" w:after="330" w:line="576" w:lineRule="auto"/>
      <w:jc w:val="both"/>
      <w:outlineLvl w:val="0"/>
    </w:pPr>
    <w:rPr>
      <w:rFonts w:ascii="Times New Roman" w:hAnsi="Times New Roman" w:cs="Times New Roman"/>
      <w:b/>
      <w:bCs/>
      <w:kern w:val="44"/>
      <w:sz w:val="44"/>
      <w:szCs w:val="44"/>
    </w:rPr>
  </w:style>
  <w:style w:type="paragraph" w:styleId="3">
    <w:name w:val="heading 2"/>
    <w:basedOn w:val="1"/>
    <w:next w:val="1"/>
    <w:link w:val="95"/>
    <w:qFormat/>
    <w:uiPriority w:val="99"/>
    <w:pPr>
      <w:keepNext/>
      <w:keepLines/>
      <w:widowControl w:val="0"/>
      <w:spacing w:before="260" w:after="260" w:line="415" w:lineRule="auto"/>
      <w:jc w:val="both"/>
      <w:outlineLvl w:val="1"/>
    </w:pPr>
    <w:rPr>
      <w:rFonts w:ascii="Arial" w:hAnsi="Arial" w:eastAsia="黑体" w:cs="Times New Roman"/>
      <w:b/>
      <w:bCs/>
      <w:sz w:val="32"/>
      <w:szCs w:val="32"/>
    </w:rPr>
  </w:style>
  <w:style w:type="paragraph" w:styleId="4">
    <w:name w:val="heading 3"/>
    <w:basedOn w:val="1"/>
    <w:next w:val="1"/>
    <w:link w:val="96"/>
    <w:qFormat/>
    <w:uiPriority w:val="99"/>
    <w:pPr>
      <w:keepNext/>
      <w:keepLines/>
      <w:widowControl w:val="0"/>
      <w:spacing w:before="260" w:after="260" w:line="415" w:lineRule="auto"/>
      <w:jc w:val="both"/>
      <w:outlineLvl w:val="2"/>
    </w:pPr>
    <w:rPr>
      <w:rFonts w:cs="Times New Roman"/>
      <w:b/>
      <w:bCs/>
      <w:sz w:val="32"/>
      <w:szCs w:val="32"/>
    </w:rPr>
  </w:style>
  <w:style w:type="paragraph" w:styleId="5">
    <w:name w:val="heading 4"/>
    <w:basedOn w:val="1"/>
    <w:next w:val="1"/>
    <w:link w:val="97"/>
    <w:autoRedefine/>
    <w:qFormat/>
    <w:uiPriority w:val="99"/>
    <w:pPr>
      <w:keepNext/>
      <w:keepLines/>
      <w:widowControl w:val="0"/>
      <w:spacing w:before="280" w:after="290" w:line="374" w:lineRule="auto"/>
      <w:jc w:val="both"/>
      <w:outlineLvl w:val="3"/>
    </w:pPr>
    <w:rPr>
      <w:rFonts w:ascii="Arial" w:hAnsi="Arial" w:eastAsia="黑体" w:cs="Times New Roman"/>
      <w:b/>
      <w:bCs/>
      <w:sz w:val="28"/>
      <w:szCs w:val="28"/>
    </w:rPr>
  </w:style>
  <w:style w:type="paragraph" w:styleId="6">
    <w:name w:val="heading 5"/>
    <w:basedOn w:val="1"/>
    <w:next w:val="1"/>
    <w:link w:val="98"/>
    <w:qFormat/>
    <w:uiPriority w:val="99"/>
    <w:pPr>
      <w:keepNext/>
      <w:keepLines/>
      <w:widowControl w:val="0"/>
      <w:spacing w:before="280" w:after="290" w:line="372" w:lineRule="auto"/>
      <w:jc w:val="both"/>
      <w:outlineLvl w:val="4"/>
    </w:pPr>
    <w:rPr>
      <w:rFonts w:ascii="Times New Roman" w:hAnsi="Times New Roman" w:cs="Times New Roman"/>
      <w:b/>
      <w:sz w:val="28"/>
      <w:szCs w:val="20"/>
    </w:rPr>
  </w:style>
  <w:style w:type="paragraph" w:styleId="7">
    <w:name w:val="heading 6"/>
    <w:basedOn w:val="1"/>
    <w:next w:val="1"/>
    <w:link w:val="99"/>
    <w:autoRedefine/>
    <w:qFormat/>
    <w:uiPriority w:val="99"/>
    <w:pPr>
      <w:keepNext/>
      <w:keepLines/>
      <w:tabs>
        <w:tab w:val="left" w:pos="1440"/>
      </w:tabs>
      <w:spacing w:before="240" w:after="64" w:line="319" w:lineRule="auto"/>
      <w:ind w:left="1152" w:hanging="1152"/>
      <w:outlineLvl w:val="5"/>
    </w:pPr>
    <w:rPr>
      <w:rFonts w:ascii="Arial" w:hAnsi="Arial" w:eastAsia="黑体" w:cs="Times New Roman"/>
      <w:b/>
      <w:bCs/>
    </w:rPr>
  </w:style>
  <w:style w:type="paragraph" w:styleId="8">
    <w:name w:val="heading 7"/>
    <w:basedOn w:val="1"/>
    <w:next w:val="1"/>
    <w:link w:val="100"/>
    <w:qFormat/>
    <w:uiPriority w:val="99"/>
    <w:pPr>
      <w:keepNext/>
      <w:keepLines/>
      <w:tabs>
        <w:tab w:val="left" w:pos="2520"/>
      </w:tabs>
      <w:spacing w:before="240" w:after="64" w:line="319" w:lineRule="auto"/>
      <w:ind w:left="1296" w:hanging="1296"/>
      <w:outlineLvl w:val="6"/>
    </w:pPr>
    <w:rPr>
      <w:rFonts w:ascii="Times New Roman" w:hAnsi="Times New Roman" w:cs="Times New Roman"/>
      <w:b/>
      <w:bCs/>
    </w:rPr>
  </w:style>
  <w:style w:type="paragraph" w:styleId="9">
    <w:name w:val="heading 8"/>
    <w:basedOn w:val="1"/>
    <w:next w:val="1"/>
    <w:link w:val="101"/>
    <w:autoRedefine/>
    <w:qFormat/>
    <w:uiPriority w:val="99"/>
    <w:pPr>
      <w:keepNext/>
      <w:keepLines/>
      <w:tabs>
        <w:tab w:val="left" w:pos="1440"/>
      </w:tabs>
      <w:spacing w:before="240" w:after="64" w:line="319" w:lineRule="auto"/>
      <w:ind w:left="1440" w:hanging="1440"/>
      <w:outlineLvl w:val="7"/>
    </w:pPr>
    <w:rPr>
      <w:rFonts w:ascii="Arial" w:hAnsi="Arial" w:eastAsia="黑体" w:cs="Times New Roman"/>
    </w:rPr>
  </w:style>
  <w:style w:type="paragraph" w:styleId="10">
    <w:name w:val="heading 9"/>
    <w:basedOn w:val="1"/>
    <w:next w:val="1"/>
    <w:link w:val="102"/>
    <w:qFormat/>
    <w:uiPriority w:val="99"/>
    <w:pPr>
      <w:keepNext/>
      <w:keepLines/>
      <w:tabs>
        <w:tab w:val="left" w:pos="1584"/>
      </w:tabs>
      <w:spacing w:before="240" w:after="64" w:line="319" w:lineRule="auto"/>
      <w:ind w:left="1584" w:hanging="1584"/>
      <w:outlineLvl w:val="8"/>
    </w:pPr>
    <w:rPr>
      <w:rFonts w:ascii="Arial" w:hAnsi="Arial" w:eastAsia="黑体" w:cs="Times New Roman"/>
      <w:sz w:val="20"/>
      <w:szCs w:val="21"/>
    </w:rPr>
  </w:style>
  <w:style w:type="character" w:default="1" w:styleId="48">
    <w:name w:val="Default Paragraph Font"/>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99"/>
    <w:pPr>
      <w:widowControl w:val="0"/>
      <w:ind w:left="2520" w:leftChars="1200"/>
      <w:jc w:val="both"/>
    </w:pPr>
    <w:rPr>
      <w:rFonts w:ascii="Calibri" w:hAnsi="Calibri" w:cs="Times New Roman"/>
      <w:kern w:val="2"/>
      <w:sz w:val="21"/>
      <w:szCs w:val="22"/>
    </w:rPr>
  </w:style>
  <w:style w:type="paragraph" w:styleId="12">
    <w:name w:val="Normal Indent"/>
    <w:basedOn w:val="1"/>
    <w:link w:val="103"/>
    <w:autoRedefine/>
    <w:qFormat/>
    <w:uiPriority w:val="99"/>
    <w:pPr>
      <w:widowControl w:val="0"/>
      <w:ind w:firstLine="420" w:firstLineChars="200"/>
      <w:jc w:val="both"/>
    </w:pPr>
    <w:rPr>
      <w:rFonts w:cs="Times New Roman"/>
      <w:szCs w:val="20"/>
    </w:rPr>
  </w:style>
  <w:style w:type="paragraph" w:styleId="13">
    <w:name w:val="caption"/>
    <w:basedOn w:val="1"/>
    <w:next w:val="1"/>
    <w:autoRedefine/>
    <w:qFormat/>
    <w:uiPriority w:val="99"/>
    <w:pPr>
      <w:widowControl w:val="0"/>
      <w:jc w:val="both"/>
    </w:pPr>
    <w:rPr>
      <w:rFonts w:ascii="Cambria" w:hAnsi="Cambria" w:eastAsia="黑体" w:cs="Times New Roman"/>
      <w:kern w:val="2"/>
      <w:sz w:val="20"/>
      <w:szCs w:val="20"/>
    </w:rPr>
  </w:style>
  <w:style w:type="paragraph" w:styleId="14">
    <w:name w:val="Document Map"/>
    <w:basedOn w:val="1"/>
    <w:link w:val="104"/>
    <w:autoRedefine/>
    <w:qFormat/>
    <w:uiPriority w:val="99"/>
    <w:pPr>
      <w:widowControl w:val="0"/>
      <w:shd w:val="clear" w:color="auto" w:fill="000080"/>
      <w:jc w:val="both"/>
    </w:pPr>
    <w:rPr>
      <w:rFonts w:ascii="Times New Roman" w:hAnsi="Times New Roman" w:cs="Times New Roman"/>
    </w:rPr>
  </w:style>
  <w:style w:type="paragraph" w:styleId="15">
    <w:name w:val="annotation text"/>
    <w:basedOn w:val="1"/>
    <w:link w:val="105"/>
    <w:autoRedefine/>
    <w:qFormat/>
    <w:uiPriority w:val="99"/>
    <w:pPr>
      <w:widowControl w:val="0"/>
    </w:pPr>
    <w:rPr>
      <w:rFonts w:ascii="Calibri" w:hAnsi="Calibri" w:cs="Times New Roman"/>
    </w:rPr>
  </w:style>
  <w:style w:type="paragraph" w:styleId="16">
    <w:name w:val="Salutation"/>
    <w:basedOn w:val="1"/>
    <w:next w:val="1"/>
    <w:link w:val="106"/>
    <w:autoRedefine/>
    <w:qFormat/>
    <w:uiPriority w:val="99"/>
    <w:pPr>
      <w:widowControl w:val="0"/>
      <w:jc w:val="both"/>
    </w:pPr>
    <w:rPr>
      <w:rFonts w:ascii="Times New Roman" w:hAnsi="Times New Roman" w:cs="Times New Roman"/>
      <w:sz w:val="28"/>
    </w:rPr>
  </w:style>
  <w:style w:type="paragraph" w:styleId="17">
    <w:name w:val="Body Text 3"/>
    <w:basedOn w:val="1"/>
    <w:link w:val="107"/>
    <w:autoRedefine/>
    <w:qFormat/>
    <w:uiPriority w:val="99"/>
    <w:pPr>
      <w:widowControl w:val="0"/>
      <w:jc w:val="both"/>
    </w:pPr>
    <w:rPr>
      <w:rFonts w:hAnsi="Times New Roman" w:cs="Times New Roman"/>
      <w:sz w:val="20"/>
      <w:szCs w:val="20"/>
    </w:rPr>
  </w:style>
  <w:style w:type="paragraph" w:styleId="18">
    <w:name w:val="Body Text"/>
    <w:basedOn w:val="1"/>
    <w:link w:val="108"/>
    <w:autoRedefine/>
    <w:qFormat/>
    <w:uiPriority w:val="99"/>
    <w:pPr>
      <w:widowControl w:val="0"/>
      <w:spacing w:after="120"/>
      <w:jc w:val="both"/>
    </w:pPr>
    <w:rPr>
      <w:rFonts w:ascii="Times New Roman" w:hAnsi="Times New Roman" w:cs="Times New Roman"/>
    </w:rPr>
  </w:style>
  <w:style w:type="paragraph" w:styleId="19">
    <w:name w:val="Body Text Indent"/>
    <w:basedOn w:val="1"/>
    <w:link w:val="92"/>
    <w:autoRedefine/>
    <w:qFormat/>
    <w:uiPriority w:val="99"/>
    <w:pPr>
      <w:widowControl w:val="0"/>
      <w:spacing w:after="120"/>
      <w:ind w:left="420" w:leftChars="200"/>
      <w:jc w:val="both"/>
    </w:pPr>
    <w:rPr>
      <w:rFonts w:ascii="Times New Roman" w:hAnsi="Times New Roman" w:cs="Times New Roman"/>
    </w:rPr>
  </w:style>
  <w:style w:type="paragraph" w:styleId="20">
    <w:name w:val="List 2"/>
    <w:basedOn w:val="1"/>
    <w:autoRedefine/>
    <w:qFormat/>
    <w:uiPriority w:val="99"/>
    <w:pPr>
      <w:widowControl w:val="0"/>
      <w:ind w:left="100" w:leftChars="200" w:hanging="200" w:hangingChars="200"/>
      <w:jc w:val="both"/>
    </w:pPr>
    <w:rPr>
      <w:rFonts w:ascii="Times New Roman" w:hAnsi="Times New Roman" w:cs="Times New Roman"/>
      <w:kern w:val="2"/>
      <w:sz w:val="21"/>
    </w:rPr>
  </w:style>
  <w:style w:type="paragraph" w:styleId="21">
    <w:name w:val="index 4"/>
    <w:basedOn w:val="1"/>
    <w:next w:val="1"/>
    <w:autoRedefine/>
    <w:qFormat/>
    <w:uiPriority w:val="99"/>
    <w:pPr>
      <w:widowControl w:val="0"/>
      <w:ind w:left="600" w:leftChars="600"/>
      <w:jc w:val="both"/>
    </w:pPr>
    <w:rPr>
      <w:rFonts w:ascii="Times New Roman" w:hAnsi="Times New Roman" w:cs="Times New Roman"/>
      <w:kern w:val="2"/>
      <w:sz w:val="21"/>
    </w:rPr>
  </w:style>
  <w:style w:type="paragraph" w:styleId="22">
    <w:name w:val="toc 5"/>
    <w:basedOn w:val="1"/>
    <w:next w:val="1"/>
    <w:autoRedefine/>
    <w:qFormat/>
    <w:uiPriority w:val="99"/>
    <w:pPr>
      <w:widowControl w:val="0"/>
      <w:ind w:left="1680" w:leftChars="800"/>
      <w:jc w:val="both"/>
    </w:pPr>
    <w:rPr>
      <w:rFonts w:ascii="Times New Roman" w:hAnsi="Times New Roman" w:cs="Times New Roman"/>
      <w:kern w:val="2"/>
      <w:sz w:val="21"/>
      <w:szCs w:val="20"/>
    </w:rPr>
  </w:style>
  <w:style w:type="paragraph" w:styleId="23">
    <w:name w:val="toc 3"/>
    <w:basedOn w:val="1"/>
    <w:next w:val="1"/>
    <w:autoRedefine/>
    <w:qFormat/>
    <w:uiPriority w:val="99"/>
    <w:pPr>
      <w:widowControl w:val="0"/>
      <w:ind w:left="840" w:leftChars="400"/>
      <w:jc w:val="both"/>
    </w:pPr>
    <w:rPr>
      <w:rFonts w:ascii="Times New Roman" w:hAnsi="Times New Roman" w:cs="Times New Roman"/>
      <w:kern w:val="2"/>
      <w:sz w:val="21"/>
      <w:szCs w:val="20"/>
    </w:rPr>
  </w:style>
  <w:style w:type="paragraph" w:styleId="24">
    <w:name w:val="Plain Text"/>
    <w:basedOn w:val="1"/>
    <w:link w:val="109"/>
    <w:autoRedefine/>
    <w:qFormat/>
    <w:uiPriority w:val="99"/>
    <w:pPr>
      <w:widowControl w:val="0"/>
      <w:jc w:val="both"/>
    </w:pPr>
    <w:rPr>
      <w:rFonts w:hAnsi="Courier New" w:cs="Times New Roman"/>
      <w:sz w:val="20"/>
      <w:szCs w:val="20"/>
    </w:rPr>
  </w:style>
  <w:style w:type="paragraph" w:styleId="25">
    <w:name w:val="toc 8"/>
    <w:basedOn w:val="1"/>
    <w:next w:val="1"/>
    <w:autoRedefine/>
    <w:qFormat/>
    <w:uiPriority w:val="99"/>
    <w:pPr>
      <w:widowControl w:val="0"/>
      <w:ind w:left="2940" w:leftChars="1400"/>
      <w:jc w:val="both"/>
    </w:pPr>
    <w:rPr>
      <w:rFonts w:ascii="Calibri" w:hAnsi="Calibri" w:cs="Times New Roman"/>
      <w:kern w:val="2"/>
      <w:sz w:val="21"/>
      <w:szCs w:val="22"/>
    </w:rPr>
  </w:style>
  <w:style w:type="paragraph" w:styleId="26">
    <w:name w:val="Date"/>
    <w:basedOn w:val="1"/>
    <w:next w:val="1"/>
    <w:link w:val="110"/>
    <w:autoRedefine/>
    <w:qFormat/>
    <w:uiPriority w:val="99"/>
    <w:pPr>
      <w:widowControl w:val="0"/>
      <w:ind w:left="100" w:leftChars="2500"/>
      <w:jc w:val="both"/>
    </w:pPr>
    <w:rPr>
      <w:rFonts w:ascii="Times New Roman" w:hAnsi="Times New Roman" w:cs="Times New Roman"/>
    </w:rPr>
  </w:style>
  <w:style w:type="paragraph" w:styleId="27">
    <w:name w:val="Body Text Indent 2"/>
    <w:basedOn w:val="1"/>
    <w:link w:val="111"/>
    <w:autoRedefine/>
    <w:qFormat/>
    <w:uiPriority w:val="99"/>
    <w:pPr>
      <w:widowControl w:val="0"/>
      <w:spacing w:after="120" w:line="480" w:lineRule="auto"/>
      <w:ind w:left="420" w:leftChars="200"/>
      <w:jc w:val="both"/>
    </w:pPr>
    <w:rPr>
      <w:rFonts w:ascii="Times New Roman" w:hAnsi="Times New Roman" w:cs="Times New Roman"/>
    </w:rPr>
  </w:style>
  <w:style w:type="paragraph" w:styleId="28">
    <w:name w:val="Balloon Text"/>
    <w:basedOn w:val="1"/>
    <w:link w:val="112"/>
    <w:autoRedefine/>
    <w:qFormat/>
    <w:uiPriority w:val="99"/>
    <w:pPr>
      <w:widowControl w:val="0"/>
      <w:jc w:val="both"/>
    </w:pPr>
    <w:rPr>
      <w:rFonts w:ascii="Calibri" w:hAnsi="Calibri" w:cs="Times New Roman"/>
      <w:sz w:val="18"/>
      <w:szCs w:val="18"/>
    </w:rPr>
  </w:style>
  <w:style w:type="paragraph" w:styleId="29">
    <w:name w:val="footer"/>
    <w:basedOn w:val="1"/>
    <w:link w:val="113"/>
    <w:autoRedefine/>
    <w:unhideWhenUsed/>
    <w:qFormat/>
    <w:uiPriority w:val="99"/>
    <w:pPr>
      <w:tabs>
        <w:tab w:val="center" w:pos="4153"/>
        <w:tab w:val="right" w:pos="8306"/>
      </w:tabs>
      <w:snapToGrid w:val="0"/>
      <w:jc w:val="left"/>
    </w:pPr>
    <w:rPr>
      <w:rFonts w:ascii="Times New Roman" w:hAnsi="Times New Roman" w:cs="Times New Roman"/>
      <w:sz w:val="18"/>
      <w:szCs w:val="18"/>
    </w:rPr>
  </w:style>
  <w:style w:type="paragraph" w:styleId="30">
    <w:name w:val="header"/>
    <w:basedOn w:val="1"/>
    <w:link w:val="114"/>
    <w:autoRedefine/>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31">
    <w:name w:val="toc 1"/>
    <w:basedOn w:val="1"/>
    <w:next w:val="1"/>
    <w:autoRedefine/>
    <w:qFormat/>
    <w:uiPriority w:val="99"/>
    <w:pPr>
      <w:widowControl w:val="0"/>
      <w:tabs>
        <w:tab w:val="right" w:leader="dot" w:pos="8296"/>
      </w:tabs>
      <w:spacing w:line="440" w:lineRule="exact"/>
      <w:jc w:val="both"/>
    </w:pPr>
    <w:rPr>
      <w:rFonts w:ascii="Times New Roman" w:hAnsi="Times New Roman" w:cs="Times New Roman"/>
      <w:kern w:val="2"/>
      <w:sz w:val="21"/>
      <w:szCs w:val="20"/>
    </w:rPr>
  </w:style>
  <w:style w:type="paragraph" w:styleId="32">
    <w:name w:val="toc 4"/>
    <w:basedOn w:val="1"/>
    <w:next w:val="1"/>
    <w:autoRedefine/>
    <w:qFormat/>
    <w:uiPriority w:val="99"/>
    <w:pPr>
      <w:widowControl w:val="0"/>
      <w:tabs>
        <w:tab w:val="left" w:pos="1890"/>
        <w:tab w:val="right" w:leader="dot" w:pos="8296"/>
      </w:tabs>
      <w:ind w:left="630" w:leftChars="300"/>
      <w:jc w:val="both"/>
    </w:pPr>
    <w:rPr>
      <w:rFonts w:ascii="Calibri" w:hAnsi="Calibri" w:cs="Times New Roman"/>
      <w:kern w:val="2"/>
      <w:sz w:val="21"/>
      <w:szCs w:val="22"/>
    </w:rPr>
  </w:style>
  <w:style w:type="paragraph" w:styleId="33">
    <w:name w:val="Subtitle"/>
    <w:basedOn w:val="1"/>
    <w:next w:val="1"/>
    <w:link w:val="115"/>
    <w:autoRedefine/>
    <w:qFormat/>
    <w:uiPriority w:val="99"/>
    <w:pPr>
      <w:widowControl w:val="0"/>
      <w:spacing w:before="240" w:after="60" w:line="312" w:lineRule="auto"/>
      <w:jc w:val="center"/>
      <w:outlineLvl w:val="1"/>
    </w:pPr>
    <w:rPr>
      <w:rFonts w:ascii="Cambria" w:hAnsi="Cambria" w:cs="Times New Roman"/>
      <w:b/>
      <w:bCs/>
      <w:kern w:val="28"/>
      <w:sz w:val="32"/>
      <w:szCs w:val="32"/>
    </w:rPr>
  </w:style>
  <w:style w:type="paragraph" w:styleId="34">
    <w:name w:val="footnote text"/>
    <w:basedOn w:val="1"/>
    <w:link w:val="116"/>
    <w:autoRedefine/>
    <w:qFormat/>
    <w:uiPriority w:val="99"/>
    <w:pPr>
      <w:widowControl w:val="0"/>
      <w:jc w:val="both"/>
    </w:pPr>
    <w:rPr>
      <w:rFonts w:ascii="Times New Roman" w:hAnsi="Times New Roman" w:cs="Times New Roman"/>
      <w:sz w:val="20"/>
      <w:szCs w:val="20"/>
    </w:rPr>
  </w:style>
  <w:style w:type="paragraph" w:styleId="35">
    <w:name w:val="toc 6"/>
    <w:basedOn w:val="1"/>
    <w:next w:val="1"/>
    <w:autoRedefine/>
    <w:qFormat/>
    <w:uiPriority w:val="99"/>
    <w:pPr>
      <w:widowControl w:val="0"/>
      <w:ind w:left="2100" w:leftChars="1000"/>
      <w:jc w:val="both"/>
    </w:pPr>
    <w:rPr>
      <w:rFonts w:ascii="Calibri" w:hAnsi="Calibri" w:cs="Times New Roman"/>
      <w:kern w:val="2"/>
      <w:sz w:val="21"/>
      <w:szCs w:val="22"/>
    </w:rPr>
  </w:style>
  <w:style w:type="paragraph" w:styleId="36">
    <w:name w:val="Body Text Indent 3"/>
    <w:basedOn w:val="1"/>
    <w:link w:val="117"/>
    <w:autoRedefine/>
    <w:qFormat/>
    <w:uiPriority w:val="99"/>
    <w:pPr>
      <w:widowControl w:val="0"/>
      <w:spacing w:after="120"/>
      <w:ind w:left="420" w:leftChars="200"/>
      <w:jc w:val="both"/>
    </w:pPr>
    <w:rPr>
      <w:rFonts w:ascii="Times New Roman" w:hAnsi="Times New Roman" w:cs="Times New Roman"/>
      <w:sz w:val="16"/>
      <w:szCs w:val="16"/>
    </w:rPr>
  </w:style>
  <w:style w:type="paragraph" w:styleId="37">
    <w:name w:val="toc 2"/>
    <w:basedOn w:val="1"/>
    <w:next w:val="1"/>
    <w:autoRedefine/>
    <w:qFormat/>
    <w:uiPriority w:val="99"/>
    <w:pPr>
      <w:widowControl w:val="0"/>
      <w:ind w:left="420" w:leftChars="200"/>
      <w:jc w:val="both"/>
    </w:pPr>
    <w:rPr>
      <w:rFonts w:ascii="Times New Roman" w:hAnsi="Times New Roman" w:cs="Times New Roman"/>
      <w:kern w:val="2"/>
      <w:sz w:val="21"/>
      <w:szCs w:val="20"/>
    </w:rPr>
  </w:style>
  <w:style w:type="paragraph" w:styleId="38">
    <w:name w:val="toc 9"/>
    <w:basedOn w:val="1"/>
    <w:next w:val="1"/>
    <w:autoRedefine/>
    <w:qFormat/>
    <w:uiPriority w:val="99"/>
    <w:pPr>
      <w:widowControl w:val="0"/>
      <w:ind w:left="3360" w:leftChars="1600"/>
      <w:jc w:val="both"/>
    </w:pPr>
    <w:rPr>
      <w:rFonts w:ascii="Calibri" w:hAnsi="Calibri" w:cs="Times New Roman"/>
      <w:kern w:val="2"/>
      <w:sz w:val="21"/>
      <w:szCs w:val="22"/>
    </w:rPr>
  </w:style>
  <w:style w:type="paragraph" w:styleId="39">
    <w:name w:val="Body Text 2"/>
    <w:basedOn w:val="1"/>
    <w:link w:val="118"/>
    <w:autoRedefine/>
    <w:qFormat/>
    <w:uiPriority w:val="99"/>
    <w:pPr>
      <w:widowControl w:val="0"/>
    </w:pPr>
    <w:rPr>
      <w:rFonts w:hAnsi="Calibri" w:cs="Times New Roman"/>
      <w:color w:val="000000"/>
      <w:sz w:val="18"/>
      <w:szCs w:val="18"/>
    </w:rPr>
  </w:style>
  <w:style w:type="paragraph" w:styleId="40">
    <w:name w:val="List Continue 2"/>
    <w:basedOn w:val="1"/>
    <w:autoRedefine/>
    <w:qFormat/>
    <w:uiPriority w:val="99"/>
    <w:pPr>
      <w:widowControl w:val="0"/>
      <w:spacing w:after="120"/>
      <w:ind w:left="840" w:leftChars="400"/>
      <w:jc w:val="both"/>
    </w:pPr>
    <w:rPr>
      <w:rFonts w:ascii="Times New Roman" w:hAnsi="Times New Roman" w:cs="Times New Roman"/>
      <w:kern w:val="2"/>
      <w:sz w:val="21"/>
      <w:szCs w:val="20"/>
    </w:rPr>
  </w:style>
  <w:style w:type="paragraph" w:styleId="41">
    <w:name w:val="Normal (Web)"/>
    <w:basedOn w:val="1"/>
    <w:autoRedefine/>
    <w:qFormat/>
    <w:uiPriority w:val="99"/>
    <w:pPr>
      <w:spacing w:before="100" w:beforeAutospacing="1" w:after="100" w:afterAutospacing="1"/>
    </w:pPr>
  </w:style>
  <w:style w:type="paragraph" w:styleId="42">
    <w:name w:val="index 1"/>
    <w:basedOn w:val="1"/>
    <w:next w:val="1"/>
    <w:autoRedefine/>
    <w:qFormat/>
    <w:uiPriority w:val="99"/>
    <w:pPr>
      <w:widowControl w:val="0"/>
      <w:spacing w:line="220" w:lineRule="exact"/>
      <w:jc w:val="center"/>
    </w:pPr>
    <w:rPr>
      <w:rFonts w:ascii="仿宋_GB2312" w:hAnsi="Times New Roman" w:eastAsia="仿宋_GB2312" w:cs="Times New Roman"/>
      <w:kern w:val="2"/>
      <w:sz w:val="21"/>
      <w:szCs w:val="20"/>
    </w:rPr>
  </w:style>
  <w:style w:type="paragraph" w:styleId="43">
    <w:name w:val="Title"/>
    <w:basedOn w:val="1"/>
    <w:link w:val="119"/>
    <w:autoRedefine/>
    <w:qFormat/>
    <w:uiPriority w:val="99"/>
    <w:pPr>
      <w:widowControl w:val="0"/>
      <w:adjustRightInd w:val="0"/>
      <w:spacing w:before="240" w:after="60" w:line="420" w:lineRule="atLeast"/>
      <w:jc w:val="center"/>
      <w:outlineLvl w:val="0"/>
    </w:pPr>
    <w:rPr>
      <w:rFonts w:ascii="Arial" w:hAnsi="Arial" w:cs="Times New Roman"/>
      <w:b/>
      <w:sz w:val="32"/>
      <w:szCs w:val="20"/>
    </w:rPr>
  </w:style>
  <w:style w:type="paragraph" w:styleId="44">
    <w:name w:val="annotation subject"/>
    <w:basedOn w:val="15"/>
    <w:next w:val="15"/>
    <w:link w:val="120"/>
    <w:autoRedefine/>
    <w:qFormat/>
    <w:uiPriority w:val="99"/>
    <w:rPr>
      <w:b/>
      <w:bCs/>
    </w:rPr>
  </w:style>
  <w:style w:type="paragraph" w:styleId="45">
    <w:name w:val="Body Text First Indent 2"/>
    <w:basedOn w:val="19"/>
    <w:link w:val="93"/>
    <w:autoRedefine/>
    <w:qFormat/>
    <w:uiPriority w:val="99"/>
    <w:pPr>
      <w:ind w:firstLine="420" w:firstLineChars="200"/>
    </w:pPr>
  </w:style>
  <w:style w:type="table" w:styleId="47">
    <w:name w:val="Table Grid"/>
    <w:basedOn w:val="46"/>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99"/>
    <w:rPr>
      <w:rFonts w:cs="Times New Roman"/>
      <w:b/>
    </w:rPr>
  </w:style>
  <w:style w:type="character" w:styleId="50">
    <w:name w:val="page number"/>
    <w:autoRedefine/>
    <w:qFormat/>
    <w:uiPriority w:val="0"/>
    <w:rPr>
      <w:rFonts w:cs="Times New Roman"/>
    </w:rPr>
  </w:style>
  <w:style w:type="character" w:styleId="51">
    <w:name w:val="FollowedHyperlink"/>
    <w:autoRedefine/>
    <w:qFormat/>
    <w:uiPriority w:val="99"/>
    <w:rPr>
      <w:rFonts w:cs="Times New Roman"/>
      <w:color w:val="800080"/>
      <w:u w:val="single"/>
    </w:rPr>
  </w:style>
  <w:style w:type="character" w:styleId="52">
    <w:name w:val="Emphasis"/>
    <w:basedOn w:val="48"/>
    <w:qFormat/>
    <w:uiPriority w:val="20"/>
  </w:style>
  <w:style w:type="character" w:styleId="53">
    <w:name w:val="Hyperlink"/>
    <w:autoRedefine/>
    <w:qFormat/>
    <w:uiPriority w:val="99"/>
    <w:rPr>
      <w:rFonts w:cs="Times New Roman"/>
      <w:color w:val="0000FF"/>
      <w:u w:val="single"/>
    </w:rPr>
  </w:style>
  <w:style w:type="character" w:styleId="54">
    <w:name w:val="annotation reference"/>
    <w:autoRedefine/>
    <w:qFormat/>
    <w:uiPriority w:val="99"/>
    <w:rPr>
      <w:rFonts w:cs="Times New Roman"/>
      <w:sz w:val="21"/>
      <w:szCs w:val="21"/>
    </w:rPr>
  </w:style>
  <w:style w:type="character" w:styleId="55">
    <w:name w:val="footnote reference"/>
    <w:autoRedefine/>
    <w:qFormat/>
    <w:uiPriority w:val="99"/>
    <w:rPr>
      <w:rFonts w:cs="Times New Roman"/>
      <w:vertAlign w:val="superscript"/>
    </w:rPr>
  </w:style>
  <w:style w:type="paragraph" w:customStyle="1" w:styleId="56">
    <w:name w:val="一级"/>
    <w:basedOn w:val="57"/>
    <w:link w:val="136"/>
    <w:autoRedefine/>
    <w:qFormat/>
    <w:uiPriority w:val="0"/>
    <w:pPr>
      <w:widowControl w:val="0"/>
      <w:jc w:val="center"/>
      <w:outlineLvl w:val="0"/>
    </w:pPr>
    <w:rPr>
      <w:rFonts w:ascii="宋体" w:hAnsi="宋体" w:eastAsia="宋体"/>
      <w:kern w:val="0"/>
      <w:sz w:val="32"/>
      <w:szCs w:val="32"/>
    </w:rPr>
  </w:style>
  <w:style w:type="paragraph" w:customStyle="1" w:styleId="57">
    <w:name w:val="样式2"/>
    <w:basedOn w:val="1"/>
    <w:link w:val="137"/>
    <w:autoRedefine/>
    <w:qFormat/>
    <w:uiPriority w:val="0"/>
    <w:pPr>
      <w:widowControl w:val="0"/>
      <w:spacing w:beforeLines="50" w:line="360" w:lineRule="auto"/>
      <w:jc w:val="center"/>
      <w:outlineLvl w:val="0"/>
    </w:pPr>
    <w:rPr>
      <w:rFonts w:ascii="Times New Roman" w:hAnsi="Times New Roman" w:eastAsia="黑体" w:cs="Times New Roman"/>
      <w:b/>
      <w:kern w:val="2"/>
      <w:sz w:val="44"/>
      <w:szCs w:val="44"/>
    </w:rPr>
  </w:style>
  <w:style w:type="paragraph" w:customStyle="1" w:styleId="58">
    <w:name w:val="标题5"/>
    <w:basedOn w:val="4"/>
    <w:link w:val="141"/>
    <w:autoRedefine/>
    <w:qFormat/>
    <w:uiPriority w:val="99"/>
    <w:pPr>
      <w:spacing w:line="412" w:lineRule="auto"/>
    </w:pPr>
    <w:rPr>
      <w:rFonts w:ascii="Arial" w:hAnsi="Arial"/>
      <w:bCs w:val="0"/>
      <w:szCs w:val="20"/>
    </w:rPr>
  </w:style>
  <w:style w:type="paragraph" w:customStyle="1" w:styleId="59">
    <w:name w:val="三级"/>
    <w:basedOn w:val="60"/>
    <w:link w:val="146"/>
    <w:autoRedefine/>
    <w:qFormat/>
    <w:uiPriority w:val="0"/>
    <w:pPr>
      <w:widowControl w:val="0"/>
      <w:tabs>
        <w:tab w:val="left" w:pos="851"/>
      </w:tabs>
      <w:spacing w:after="80" w:line="360" w:lineRule="auto"/>
      <w:ind w:left="851" w:hanging="851"/>
      <w:jc w:val="both"/>
      <w:outlineLvl w:val="3"/>
    </w:pPr>
    <w:rPr>
      <w:rFonts w:ascii="宋体" w:hAnsi="宋体" w:eastAsia="宋体"/>
      <w:szCs w:val="24"/>
    </w:rPr>
  </w:style>
  <w:style w:type="paragraph" w:customStyle="1" w:styleId="60">
    <w:name w:val="A标题4"/>
    <w:basedOn w:val="5"/>
    <w:next w:val="1"/>
    <w:autoRedefine/>
    <w:qFormat/>
    <w:uiPriority w:val="0"/>
    <w:pPr>
      <w:keepNext w:val="0"/>
      <w:keepLines w:val="0"/>
      <w:tabs>
        <w:tab w:val="left" w:pos="851"/>
      </w:tabs>
      <w:spacing w:before="0" w:after="80" w:line="360" w:lineRule="auto"/>
      <w:ind w:left="851" w:hanging="851"/>
    </w:pPr>
    <w:rPr>
      <w:sz w:val="24"/>
    </w:rPr>
  </w:style>
  <w:style w:type="paragraph" w:customStyle="1" w:styleId="61">
    <w:name w:val="样式 标题 2 + Times New Roman 四号 非加粗 段前: 5 磅 段后: 0 磅 行距: 固定值 20..."/>
    <w:basedOn w:val="3"/>
    <w:link w:val="155"/>
    <w:autoRedefine/>
    <w:qFormat/>
    <w:uiPriority w:val="99"/>
    <w:pPr>
      <w:spacing w:before="100" w:after="0" w:line="400" w:lineRule="exact"/>
    </w:pPr>
    <w:rPr>
      <w:rFonts w:ascii="Times New Roman" w:hAnsi="Times New Roman"/>
      <w:b w:val="0"/>
      <w:bCs w:val="0"/>
      <w:sz w:val="20"/>
      <w:szCs w:val="20"/>
    </w:rPr>
  </w:style>
  <w:style w:type="paragraph" w:styleId="62">
    <w:name w:val="Intense Quote"/>
    <w:basedOn w:val="1"/>
    <w:next w:val="1"/>
    <w:link w:val="163"/>
    <w:autoRedefine/>
    <w:qFormat/>
    <w:uiPriority w:val="99"/>
    <w:pPr>
      <w:widowControl w:val="0"/>
      <w:pBdr>
        <w:bottom w:val="single" w:color="4F81BD" w:sz="4" w:space="4"/>
      </w:pBdr>
      <w:spacing w:before="200" w:after="280"/>
      <w:ind w:left="936" w:right="936"/>
      <w:jc w:val="both"/>
    </w:pPr>
    <w:rPr>
      <w:rFonts w:ascii="Calibri" w:hAnsi="Calibri" w:cs="Times New Roman"/>
      <w:b/>
      <w:bCs/>
      <w:i/>
      <w:iCs/>
      <w:color w:val="4F81BD"/>
      <w:sz w:val="20"/>
      <w:szCs w:val="20"/>
    </w:rPr>
  </w:style>
  <w:style w:type="paragraph" w:customStyle="1" w:styleId="63">
    <w:name w:val="正文1"/>
    <w:basedOn w:val="1"/>
    <w:link w:val="164"/>
    <w:autoRedefine/>
    <w:qFormat/>
    <w:uiPriority w:val="99"/>
    <w:pPr>
      <w:widowControl w:val="0"/>
      <w:jc w:val="both"/>
    </w:pPr>
    <w:rPr>
      <w:rFonts w:ascii="Times New Roman" w:hAnsi="Times New Roman" w:cs="Times New Roman"/>
      <w:sz w:val="20"/>
      <w:szCs w:val="20"/>
    </w:rPr>
  </w:style>
  <w:style w:type="paragraph" w:customStyle="1" w:styleId="64">
    <w:name w:val="二级"/>
    <w:basedOn w:val="60"/>
    <w:link w:val="184"/>
    <w:autoRedefine/>
    <w:qFormat/>
    <w:uiPriority w:val="0"/>
    <w:pPr>
      <w:widowControl w:val="0"/>
      <w:spacing w:after="80" w:line="360" w:lineRule="auto"/>
      <w:ind w:left="851" w:hanging="851"/>
      <w:jc w:val="center"/>
      <w:outlineLvl w:val="3"/>
    </w:pPr>
    <w:rPr>
      <w:rFonts w:ascii="宋体" w:hAnsi="宋体" w:eastAsia="宋体"/>
      <w:sz w:val="28"/>
    </w:rPr>
  </w:style>
  <w:style w:type="paragraph" w:styleId="65">
    <w:name w:val="Quote"/>
    <w:basedOn w:val="1"/>
    <w:next w:val="1"/>
    <w:link w:val="189"/>
    <w:autoRedefine/>
    <w:qFormat/>
    <w:uiPriority w:val="99"/>
    <w:pPr>
      <w:widowControl w:val="0"/>
      <w:jc w:val="both"/>
    </w:pPr>
    <w:rPr>
      <w:rFonts w:ascii="Calibri" w:hAnsi="Calibri" w:cs="Times New Roman"/>
      <w:i/>
      <w:iCs/>
      <w:color w:val="000000"/>
      <w:sz w:val="20"/>
      <w:szCs w:val="20"/>
    </w:rPr>
  </w:style>
  <w:style w:type="paragraph" w:customStyle="1" w:styleId="66">
    <w:name w:val="xl29"/>
    <w:basedOn w:val="1"/>
    <w:autoRedefine/>
    <w:qFormat/>
    <w:uiPriority w:val="99"/>
    <w:pPr>
      <w:pBdr>
        <w:bottom w:val="single" w:color="auto" w:sz="4" w:space="0"/>
        <w:right w:val="single" w:color="auto" w:sz="4" w:space="0"/>
      </w:pBdr>
      <w:spacing w:before="100" w:beforeAutospacing="1" w:after="100" w:afterAutospacing="1"/>
      <w:jc w:val="both"/>
      <w:textAlignment w:val="top"/>
    </w:pPr>
    <w:rPr>
      <w:rFonts w:ascii="Arial Unicode MS" w:hAnsi="Arial Unicode MS" w:cs="Times New Roman"/>
    </w:rPr>
  </w:style>
  <w:style w:type="paragraph" w:customStyle="1" w:styleId="67">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8">
    <w:name w:val="编号1"/>
    <w:basedOn w:val="12"/>
    <w:autoRedefine/>
    <w:qFormat/>
    <w:uiPriority w:val="99"/>
    <w:pPr>
      <w:numPr>
        <w:ilvl w:val="0"/>
        <w:numId w:val="1"/>
      </w:numPr>
      <w:tabs>
        <w:tab w:val="left" w:pos="720"/>
      </w:tabs>
      <w:adjustRightInd w:val="0"/>
      <w:snapToGrid w:val="0"/>
      <w:spacing w:before="120" w:line="400" w:lineRule="exact"/>
      <w:ind w:left="720" w:firstLine="0" w:firstLineChars="0"/>
    </w:pPr>
    <w:rPr>
      <w:rFonts w:ascii="Times New Roman" w:hAnsi="Times New Roman"/>
    </w:rPr>
  </w:style>
  <w:style w:type="paragraph" w:customStyle="1" w:styleId="69">
    <w:name w:val="Char Char Char Char Char Char Char Char Char Char"/>
    <w:basedOn w:val="1"/>
    <w:autoRedefine/>
    <w:qFormat/>
    <w:uiPriority w:val="99"/>
    <w:pPr>
      <w:widowControl w:val="0"/>
      <w:jc w:val="both"/>
    </w:pPr>
    <w:rPr>
      <w:rFonts w:ascii="Tahoma" w:hAnsi="Tahoma" w:cs="Times New Roman"/>
      <w:kern w:val="2"/>
      <w:szCs w:val="20"/>
    </w:rPr>
  </w:style>
  <w:style w:type="paragraph" w:customStyle="1" w:styleId="70">
    <w:name w:val="标题1 Char Char Char"/>
    <w:basedOn w:val="2"/>
    <w:autoRedefine/>
    <w:qFormat/>
    <w:uiPriority w:val="0"/>
    <w:pPr>
      <w:tabs>
        <w:tab w:val="center" w:pos="4512"/>
        <w:tab w:val="center" w:pos="4606"/>
      </w:tabs>
      <w:adjustRightInd w:val="0"/>
      <w:snapToGrid w:val="0"/>
      <w:spacing w:beforeLines="50" w:after="240"/>
      <w:jc w:val="center"/>
      <w:outlineLvl w:val="1"/>
    </w:pPr>
    <w:rPr>
      <w:rFonts w:ascii="Calibri" w:hAnsi="Calibri"/>
      <w:bCs w:val="0"/>
      <w:sz w:val="28"/>
      <w:szCs w:val="20"/>
    </w:rPr>
  </w:style>
  <w:style w:type="paragraph" w:customStyle="1" w:styleId="71">
    <w:name w:val="Char Char Char Char Char Char Char Char Char Char Char Char Char"/>
    <w:basedOn w:val="1"/>
    <w:autoRedefine/>
    <w:qFormat/>
    <w:uiPriority w:val="99"/>
    <w:pPr>
      <w:widowControl w:val="0"/>
      <w:jc w:val="both"/>
    </w:pPr>
    <w:rPr>
      <w:rFonts w:ascii="Times New Roman" w:hAnsi="Times New Roman" w:cs="Times New Roman"/>
      <w:kern w:val="2"/>
      <w:sz w:val="21"/>
      <w:szCs w:val="20"/>
    </w:rPr>
  </w:style>
  <w:style w:type="paragraph" w:customStyle="1" w:styleId="72">
    <w:name w:val="表格文字"/>
    <w:basedOn w:val="1"/>
    <w:autoRedefine/>
    <w:qFormat/>
    <w:uiPriority w:val="99"/>
    <w:pPr>
      <w:widowControl w:val="0"/>
      <w:adjustRightInd w:val="0"/>
      <w:spacing w:line="420" w:lineRule="atLeast"/>
    </w:pPr>
    <w:rPr>
      <w:rFonts w:ascii="Times New Roman" w:hAnsi="Times New Roman" w:cs="Times New Roman"/>
      <w:sz w:val="21"/>
      <w:szCs w:val="20"/>
    </w:rPr>
  </w:style>
  <w:style w:type="paragraph" w:styleId="73">
    <w:name w:val="List Paragraph"/>
    <w:basedOn w:val="1"/>
    <w:autoRedefine/>
    <w:qFormat/>
    <w:uiPriority w:val="99"/>
    <w:pPr>
      <w:widowControl w:val="0"/>
      <w:ind w:firstLine="420" w:firstLineChars="200"/>
      <w:jc w:val="both"/>
    </w:pPr>
    <w:rPr>
      <w:rFonts w:ascii="Calibri" w:hAnsi="Calibri" w:cs="Times New Roman"/>
      <w:kern w:val="2"/>
      <w:sz w:val="21"/>
      <w:szCs w:val="22"/>
    </w:rPr>
  </w:style>
  <w:style w:type="paragraph" w:customStyle="1" w:styleId="74">
    <w:name w:val="flNote"/>
    <w:basedOn w:val="1"/>
    <w:autoRedefine/>
    <w:qFormat/>
    <w:uiPriority w:val="99"/>
    <w:pPr>
      <w:widowControl w:val="0"/>
      <w:adjustRightInd w:val="0"/>
      <w:spacing w:before="320" w:after="160" w:line="360" w:lineRule="atLeast"/>
      <w:jc w:val="center"/>
    </w:pPr>
    <w:rPr>
      <w:rFonts w:ascii="Arial" w:hAnsi="Times New Roman" w:eastAsia="黑体" w:cs="Times New Roman"/>
      <w:sz w:val="30"/>
      <w:szCs w:val="20"/>
    </w:rPr>
  </w:style>
  <w:style w:type="paragraph" w:customStyle="1" w:styleId="75">
    <w:name w:val="样式 标题 3 + (中文) 黑体 小四 非加粗 段前: 7.8 磅 段后: 0 磅 行距: 固定值 20 磅"/>
    <w:basedOn w:val="4"/>
    <w:autoRedefine/>
    <w:qFormat/>
    <w:uiPriority w:val="99"/>
    <w:pPr>
      <w:spacing w:before="0" w:after="0" w:line="400" w:lineRule="exact"/>
    </w:pPr>
    <w:rPr>
      <w:rFonts w:eastAsia="黑体" w:cs="宋体"/>
      <w:b w:val="0"/>
      <w:bCs w:val="0"/>
      <w:sz w:val="24"/>
      <w:szCs w:val="20"/>
    </w:rPr>
  </w:style>
  <w:style w:type="paragraph" w:customStyle="1" w:styleId="76">
    <w:name w:val="Char"/>
    <w:basedOn w:val="1"/>
    <w:autoRedefine/>
    <w:qFormat/>
    <w:uiPriority w:val="99"/>
    <w:pPr>
      <w:widowControl w:val="0"/>
      <w:jc w:val="both"/>
    </w:pPr>
    <w:rPr>
      <w:rFonts w:ascii="Times New Roman" w:hAnsi="Times New Roman" w:cs="Times New Roman"/>
      <w:kern w:val="2"/>
      <w:sz w:val="21"/>
      <w:szCs w:val="20"/>
    </w:rPr>
  </w:style>
  <w:style w:type="paragraph" w:styleId="77">
    <w:name w:val="No Spacing"/>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Blockquote"/>
    <w:basedOn w:val="1"/>
    <w:autoRedefine/>
    <w:qFormat/>
    <w:uiPriority w:val="99"/>
    <w:pPr>
      <w:widowControl w:val="0"/>
      <w:autoSpaceDE w:val="0"/>
      <w:autoSpaceDN w:val="0"/>
      <w:adjustRightInd w:val="0"/>
      <w:spacing w:before="100" w:after="100"/>
      <w:ind w:left="360" w:right="360"/>
    </w:pPr>
    <w:rPr>
      <w:rFonts w:ascii="Times New Roman" w:hAnsi="Times New Roman" w:cs="Times New Roman"/>
      <w:szCs w:val="20"/>
    </w:rPr>
  </w:style>
  <w:style w:type="paragraph" w:customStyle="1" w:styleId="79">
    <w:name w:val="reader-word-layer"/>
    <w:basedOn w:val="1"/>
    <w:autoRedefine/>
    <w:qFormat/>
    <w:uiPriority w:val="99"/>
    <w:pPr>
      <w:spacing w:before="100" w:beforeAutospacing="1" w:after="100" w:afterAutospacing="1"/>
    </w:pPr>
  </w:style>
  <w:style w:type="paragraph" w:customStyle="1" w:styleId="80">
    <w:name w:val="_Style 78"/>
    <w:basedOn w:val="2"/>
    <w:next w:val="1"/>
    <w:autoRedefine/>
    <w:qFormat/>
    <w:uiPriority w:val="99"/>
    <w:pPr>
      <w:outlineLvl w:val="9"/>
    </w:pPr>
    <w:rPr>
      <w:rFonts w:ascii="Calibri" w:hAnsi="Calibri"/>
    </w:rPr>
  </w:style>
  <w:style w:type="paragraph" w:customStyle="1" w:styleId="81">
    <w:name w:val="p0"/>
    <w:basedOn w:val="1"/>
    <w:autoRedefine/>
    <w:qFormat/>
    <w:uiPriority w:val="99"/>
    <w:pPr>
      <w:jc w:val="both"/>
    </w:pPr>
    <w:rPr>
      <w:rFonts w:ascii="Times New Roman" w:hAnsi="Times New Roman" w:cs="Times New Roman"/>
      <w:sz w:val="21"/>
      <w:szCs w:val="21"/>
    </w:rPr>
  </w:style>
  <w:style w:type="paragraph" w:customStyle="1" w:styleId="82">
    <w:name w:val="样式 正文缩进正文（首行缩进两字）特点ALT+Z表正文正文非缩进四号段1Normal Indent Char2...4"/>
    <w:basedOn w:val="19"/>
    <w:autoRedefine/>
    <w:qFormat/>
    <w:uiPriority w:val="99"/>
    <w:pPr>
      <w:tabs>
        <w:tab w:val="left" w:pos="510"/>
      </w:tabs>
      <w:adjustRightInd w:val="0"/>
      <w:spacing w:line="300" w:lineRule="auto"/>
      <w:ind w:left="0" w:leftChars="0" w:hanging="420"/>
    </w:pPr>
    <w:rPr>
      <w:rFonts w:ascii="Courier New" w:hAnsi="Arial" w:cs="Courier New"/>
      <w:color w:val="000000"/>
      <w:szCs w:val="20"/>
    </w:rPr>
  </w:style>
  <w:style w:type="paragraph" w:customStyle="1" w:styleId="83">
    <w:name w:val="样式1"/>
    <w:basedOn w:val="1"/>
    <w:next w:val="5"/>
    <w:autoRedefine/>
    <w:qFormat/>
    <w:uiPriority w:val="99"/>
    <w:pPr>
      <w:widowControl w:val="0"/>
      <w:spacing w:line="360" w:lineRule="auto"/>
      <w:ind w:firstLine="420" w:firstLineChars="200"/>
      <w:jc w:val="both"/>
    </w:pPr>
    <w:rPr>
      <w:rFonts w:cs="Times New Roman"/>
      <w:kern w:val="2"/>
      <w:sz w:val="21"/>
      <w:szCs w:val="21"/>
    </w:rPr>
  </w:style>
  <w:style w:type="paragraph" w:customStyle="1" w:styleId="84">
    <w:name w:val="默认段落字体 Para Char Char Char Char Char Char Char Char Char1 Char Char Char Char Char Char Char"/>
    <w:basedOn w:val="14"/>
    <w:autoRedefine/>
    <w:qFormat/>
    <w:uiPriority w:val="99"/>
    <w:rPr>
      <w:rFonts w:ascii="Tahoma" w:hAnsi="Tahoma"/>
    </w:rPr>
  </w:style>
  <w:style w:type="paragraph" w:customStyle="1" w:styleId="85">
    <w:name w:val="列出段落1"/>
    <w:basedOn w:val="1"/>
    <w:autoRedefine/>
    <w:qFormat/>
    <w:uiPriority w:val="99"/>
    <w:pPr>
      <w:widowControl w:val="0"/>
      <w:ind w:firstLine="420" w:firstLineChars="200"/>
      <w:jc w:val="both"/>
    </w:pPr>
    <w:rPr>
      <w:rFonts w:ascii="Calibri" w:hAnsi="Calibri" w:cs="Times New Roman"/>
      <w:kern w:val="2"/>
      <w:sz w:val="21"/>
      <w:szCs w:val="22"/>
    </w:rPr>
  </w:style>
  <w:style w:type="paragraph" w:customStyle="1" w:styleId="86">
    <w:name w:val="正文文字编号黑体"/>
    <w:basedOn w:val="1"/>
    <w:autoRedefine/>
    <w:qFormat/>
    <w:uiPriority w:val="99"/>
    <w:pPr>
      <w:widowControl w:val="0"/>
      <w:tabs>
        <w:tab w:val="left" w:pos="1134"/>
      </w:tabs>
      <w:overflowPunct w:val="0"/>
      <w:autoSpaceDE w:val="0"/>
      <w:autoSpaceDN w:val="0"/>
      <w:adjustRightInd w:val="0"/>
      <w:snapToGrid w:val="0"/>
      <w:spacing w:before="120" w:afterLines="50" w:line="360" w:lineRule="exact"/>
      <w:ind w:left="1134" w:hanging="1134"/>
      <w:jc w:val="both"/>
      <w:textAlignment w:val="baseline"/>
    </w:pPr>
    <w:rPr>
      <w:rFonts w:ascii="Times New Roman" w:hAnsi="Times New Roman" w:cs="Times New Roman"/>
      <w:b/>
    </w:rPr>
  </w:style>
  <w:style w:type="paragraph" w:customStyle="1" w:styleId="87">
    <w:name w:val="1"/>
    <w:basedOn w:val="1"/>
    <w:next w:val="1"/>
    <w:autoRedefine/>
    <w:qFormat/>
    <w:uiPriority w:val="99"/>
    <w:pPr>
      <w:widowControl w:val="0"/>
      <w:jc w:val="both"/>
    </w:pPr>
    <w:rPr>
      <w:rFonts w:ascii="Times New Roman" w:hAnsi="Times New Roman" w:cs="Times New Roman"/>
      <w:kern w:val="2"/>
      <w:sz w:val="21"/>
    </w:rPr>
  </w:style>
  <w:style w:type="paragraph" w:customStyle="1" w:styleId="88">
    <w:name w:val="样式 标题 1 + 黑体 三号 非加粗 居中 段前: 6 磅 段后: 6 磅 行距: 固定值 20 磅"/>
    <w:basedOn w:val="2"/>
    <w:autoRedefine/>
    <w:qFormat/>
    <w:uiPriority w:val="99"/>
    <w:pPr>
      <w:spacing w:before="120" w:after="120" w:line="400" w:lineRule="exact"/>
      <w:jc w:val="center"/>
    </w:pPr>
    <w:rPr>
      <w:rFonts w:ascii="黑体" w:hAnsi="黑体" w:eastAsia="黑体" w:cs="宋体"/>
      <w:b w:val="0"/>
      <w:bCs w:val="0"/>
      <w:sz w:val="32"/>
      <w:szCs w:val="20"/>
    </w:rPr>
  </w:style>
  <w:style w:type="paragraph" w:customStyle="1" w:styleId="89">
    <w:name w:val="空半行"/>
    <w:basedOn w:val="1"/>
    <w:autoRedefine/>
    <w:qFormat/>
    <w:uiPriority w:val="99"/>
    <w:pPr>
      <w:widowControl w:val="0"/>
      <w:adjustRightInd w:val="0"/>
      <w:spacing w:line="120" w:lineRule="exact"/>
      <w:jc w:val="both"/>
    </w:pPr>
    <w:rPr>
      <w:rFonts w:ascii="Times New Roman" w:hAnsi="Times New Roman" w:eastAsia="仿宋_GB2312" w:cs="Times New Roman"/>
      <w:color w:val="FFFFFF"/>
      <w:sz w:val="30"/>
      <w:szCs w:val="20"/>
    </w:rPr>
  </w:style>
  <w:style w:type="paragraph" w:customStyle="1" w:styleId="90">
    <w:name w:val="表格"/>
    <w:basedOn w:val="1"/>
    <w:autoRedefine/>
    <w:qFormat/>
    <w:uiPriority w:val="99"/>
    <w:pPr>
      <w:widowControl w:val="0"/>
      <w:jc w:val="center"/>
    </w:pPr>
    <w:rPr>
      <w:rFonts w:ascii="华文细黑" w:hAnsi="华文细黑" w:cs="Times New Roman"/>
      <w:sz w:val="21"/>
      <w:szCs w:val="20"/>
    </w:rPr>
  </w:style>
  <w:style w:type="paragraph" w:customStyle="1" w:styleId="91">
    <w:name w:val="6'"/>
    <w:basedOn w:val="1"/>
    <w:autoRedefine/>
    <w:qFormat/>
    <w:uiPriority w:val="99"/>
    <w:pPr>
      <w:widowControl w:val="0"/>
      <w:autoSpaceDE w:val="0"/>
      <w:autoSpaceDN w:val="0"/>
      <w:adjustRightInd w:val="0"/>
      <w:snapToGrid w:val="0"/>
      <w:spacing w:line="320" w:lineRule="exact"/>
      <w:jc w:val="center"/>
    </w:pPr>
    <w:rPr>
      <w:rFonts w:ascii="Times New Roman" w:hAnsi="Times New Roman" w:cs="Times New Roman"/>
      <w:spacing w:val="20"/>
      <w:kern w:val="28"/>
      <w:sz w:val="21"/>
      <w:szCs w:val="20"/>
    </w:rPr>
  </w:style>
  <w:style w:type="character" w:customStyle="1" w:styleId="92">
    <w:name w:val="正文文本缩进 Char"/>
    <w:link w:val="19"/>
    <w:autoRedefine/>
    <w:qFormat/>
    <w:uiPriority w:val="99"/>
    <w:rPr>
      <w:rFonts w:ascii="Times New Roman" w:hAnsi="Times New Roman" w:eastAsia="宋体" w:cs="Times New Roman"/>
      <w:kern w:val="0"/>
      <w:sz w:val="24"/>
      <w:szCs w:val="24"/>
    </w:rPr>
  </w:style>
  <w:style w:type="character" w:customStyle="1" w:styleId="93">
    <w:name w:val="正文首行缩进 2 Char"/>
    <w:basedOn w:val="92"/>
    <w:link w:val="45"/>
    <w:autoRedefine/>
    <w:qFormat/>
    <w:uiPriority w:val="99"/>
  </w:style>
  <w:style w:type="character" w:customStyle="1" w:styleId="94">
    <w:name w:val="标题 1 Char"/>
    <w:link w:val="2"/>
    <w:autoRedefine/>
    <w:qFormat/>
    <w:uiPriority w:val="99"/>
    <w:rPr>
      <w:rFonts w:ascii="Times New Roman" w:hAnsi="Times New Roman" w:eastAsia="宋体" w:cs="Times New Roman"/>
      <w:b/>
      <w:bCs/>
      <w:kern w:val="44"/>
      <w:sz w:val="44"/>
      <w:szCs w:val="44"/>
    </w:rPr>
  </w:style>
  <w:style w:type="character" w:customStyle="1" w:styleId="95">
    <w:name w:val="标题 2 Char1"/>
    <w:link w:val="3"/>
    <w:autoRedefine/>
    <w:qFormat/>
    <w:locked/>
    <w:uiPriority w:val="99"/>
    <w:rPr>
      <w:rFonts w:ascii="Arial" w:hAnsi="Arial" w:eastAsia="黑体" w:cs="Times New Roman"/>
      <w:b/>
      <w:bCs/>
      <w:sz w:val="32"/>
      <w:szCs w:val="32"/>
    </w:rPr>
  </w:style>
  <w:style w:type="character" w:customStyle="1" w:styleId="96">
    <w:name w:val="标题 3 Char"/>
    <w:link w:val="4"/>
    <w:autoRedefine/>
    <w:qFormat/>
    <w:uiPriority w:val="99"/>
    <w:rPr>
      <w:rFonts w:ascii="宋体" w:hAnsi="宋体" w:eastAsia="宋体" w:cs="宋体"/>
      <w:b/>
      <w:bCs/>
      <w:kern w:val="0"/>
      <w:sz w:val="32"/>
      <w:szCs w:val="32"/>
    </w:rPr>
  </w:style>
  <w:style w:type="character" w:customStyle="1" w:styleId="97">
    <w:name w:val="标题 4 Char"/>
    <w:link w:val="5"/>
    <w:autoRedefine/>
    <w:qFormat/>
    <w:uiPriority w:val="99"/>
    <w:rPr>
      <w:rFonts w:ascii="Arial" w:hAnsi="Arial" w:eastAsia="黑体" w:cs="Times New Roman"/>
      <w:b/>
      <w:bCs/>
      <w:sz w:val="28"/>
      <w:szCs w:val="28"/>
    </w:rPr>
  </w:style>
  <w:style w:type="character" w:customStyle="1" w:styleId="98">
    <w:name w:val="标题 5 Char"/>
    <w:link w:val="6"/>
    <w:autoRedefine/>
    <w:qFormat/>
    <w:uiPriority w:val="99"/>
    <w:rPr>
      <w:rFonts w:ascii="Times New Roman" w:hAnsi="Times New Roman" w:eastAsia="宋体" w:cs="Times New Roman"/>
      <w:b/>
      <w:sz w:val="28"/>
      <w:szCs w:val="20"/>
    </w:rPr>
  </w:style>
  <w:style w:type="character" w:customStyle="1" w:styleId="99">
    <w:name w:val="标题 6 Char"/>
    <w:link w:val="7"/>
    <w:autoRedefine/>
    <w:qFormat/>
    <w:uiPriority w:val="99"/>
    <w:rPr>
      <w:rFonts w:ascii="Arial" w:hAnsi="Arial" w:eastAsia="黑体" w:cs="Times New Roman"/>
      <w:b/>
      <w:bCs/>
      <w:kern w:val="0"/>
      <w:sz w:val="24"/>
      <w:szCs w:val="24"/>
    </w:rPr>
  </w:style>
  <w:style w:type="character" w:customStyle="1" w:styleId="100">
    <w:name w:val="标题 7 Char"/>
    <w:link w:val="8"/>
    <w:autoRedefine/>
    <w:qFormat/>
    <w:uiPriority w:val="99"/>
    <w:rPr>
      <w:rFonts w:ascii="Times New Roman" w:hAnsi="Times New Roman" w:eastAsia="宋体" w:cs="Times New Roman"/>
      <w:b/>
      <w:bCs/>
      <w:kern w:val="0"/>
      <w:sz w:val="24"/>
      <w:szCs w:val="24"/>
    </w:rPr>
  </w:style>
  <w:style w:type="character" w:customStyle="1" w:styleId="101">
    <w:name w:val="标题 8 Char"/>
    <w:link w:val="9"/>
    <w:autoRedefine/>
    <w:qFormat/>
    <w:uiPriority w:val="99"/>
    <w:rPr>
      <w:rFonts w:ascii="Arial" w:hAnsi="Arial" w:eastAsia="黑体" w:cs="Times New Roman"/>
      <w:kern w:val="0"/>
      <w:sz w:val="24"/>
      <w:szCs w:val="24"/>
    </w:rPr>
  </w:style>
  <w:style w:type="character" w:customStyle="1" w:styleId="102">
    <w:name w:val="标题 9 Char"/>
    <w:link w:val="10"/>
    <w:autoRedefine/>
    <w:qFormat/>
    <w:uiPriority w:val="99"/>
    <w:rPr>
      <w:rFonts w:ascii="Arial" w:hAnsi="Arial" w:eastAsia="黑体" w:cs="Times New Roman"/>
      <w:kern w:val="0"/>
      <w:szCs w:val="21"/>
    </w:rPr>
  </w:style>
  <w:style w:type="character" w:customStyle="1" w:styleId="103">
    <w:name w:val="正文缩进 Char"/>
    <w:link w:val="12"/>
    <w:autoRedefine/>
    <w:qFormat/>
    <w:locked/>
    <w:uiPriority w:val="99"/>
    <w:rPr>
      <w:rFonts w:ascii="宋体" w:hAnsi="宋体" w:eastAsia="宋体"/>
      <w:sz w:val="24"/>
    </w:rPr>
  </w:style>
  <w:style w:type="character" w:customStyle="1" w:styleId="104">
    <w:name w:val="文档结构图 Char"/>
    <w:link w:val="14"/>
    <w:autoRedefine/>
    <w:qFormat/>
    <w:uiPriority w:val="99"/>
    <w:rPr>
      <w:rFonts w:ascii="Times New Roman" w:hAnsi="Times New Roman" w:eastAsia="宋体" w:cs="Times New Roman"/>
      <w:kern w:val="0"/>
      <w:sz w:val="24"/>
      <w:szCs w:val="24"/>
      <w:shd w:val="clear" w:color="auto" w:fill="000080"/>
    </w:rPr>
  </w:style>
  <w:style w:type="character" w:customStyle="1" w:styleId="105">
    <w:name w:val="批注文字 Char1"/>
    <w:link w:val="15"/>
    <w:autoRedefine/>
    <w:qFormat/>
    <w:uiPriority w:val="99"/>
    <w:rPr>
      <w:rFonts w:ascii="Calibri" w:hAnsi="Calibri" w:eastAsia="宋体" w:cs="Times New Roman"/>
      <w:kern w:val="0"/>
      <w:sz w:val="24"/>
      <w:szCs w:val="24"/>
    </w:rPr>
  </w:style>
  <w:style w:type="character" w:customStyle="1" w:styleId="106">
    <w:name w:val="称呼 Char"/>
    <w:link w:val="16"/>
    <w:autoRedefine/>
    <w:qFormat/>
    <w:uiPriority w:val="99"/>
    <w:rPr>
      <w:rFonts w:ascii="Times New Roman" w:hAnsi="Times New Roman" w:eastAsia="宋体" w:cs="Times New Roman"/>
      <w:sz w:val="28"/>
      <w:szCs w:val="24"/>
    </w:rPr>
  </w:style>
  <w:style w:type="character" w:customStyle="1" w:styleId="107">
    <w:name w:val="正文文本 3 Char"/>
    <w:link w:val="17"/>
    <w:autoRedefine/>
    <w:qFormat/>
    <w:uiPriority w:val="99"/>
    <w:rPr>
      <w:rFonts w:ascii="宋体" w:hAnsi="Times New Roman" w:eastAsia="宋体" w:cs="Times New Roman"/>
      <w:kern w:val="0"/>
      <w:sz w:val="20"/>
      <w:szCs w:val="20"/>
    </w:rPr>
  </w:style>
  <w:style w:type="character" w:customStyle="1" w:styleId="108">
    <w:name w:val="正文文本 Char"/>
    <w:link w:val="18"/>
    <w:autoRedefine/>
    <w:qFormat/>
    <w:uiPriority w:val="99"/>
    <w:rPr>
      <w:rFonts w:ascii="Times New Roman" w:hAnsi="Times New Roman" w:eastAsia="宋体" w:cs="Times New Roman"/>
      <w:kern w:val="0"/>
      <w:sz w:val="24"/>
      <w:szCs w:val="24"/>
    </w:rPr>
  </w:style>
  <w:style w:type="character" w:customStyle="1" w:styleId="109">
    <w:name w:val="纯文本 Char1"/>
    <w:link w:val="24"/>
    <w:autoRedefine/>
    <w:qFormat/>
    <w:uiPriority w:val="99"/>
    <w:rPr>
      <w:rFonts w:ascii="宋体" w:hAnsi="Courier New" w:eastAsia="宋体" w:cs="Times New Roman"/>
      <w:kern w:val="0"/>
      <w:sz w:val="20"/>
      <w:szCs w:val="20"/>
    </w:rPr>
  </w:style>
  <w:style w:type="character" w:customStyle="1" w:styleId="110">
    <w:name w:val="日期 Char"/>
    <w:link w:val="26"/>
    <w:autoRedefine/>
    <w:qFormat/>
    <w:uiPriority w:val="99"/>
    <w:rPr>
      <w:rFonts w:ascii="Times New Roman" w:hAnsi="Times New Roman" w:eastAsia="宋体" w:cs="Times New Roman"/>
      <w:kern w:val="0"/>
      <w:sz w:val="24"/>
      <w:szCs w:val="24"/>
    </w:rPr>
  </w:style>
  <w:style w:type="character" w:customStyle="1" w:styleId="111">
    <w:name w:val="正文文本缩进 2 Char"/>
    <w:link w:val="27"/>
    <w:autoRedefine/>
    <w:qFormat/>
    <w:uiPriority w:val="99"/>
    <w:rPr>
      <w:rFonts w:ascii="Times New Roman" w:hAnsi="Times New Roman" w:eastAsia="宋体" w:cs="Times New Roman"/>
      <w:kern w:val="0"/>
      <w:sz w:val="24"/>
      <w:szCs w:val="24"/>
    </w:rPr>
  </w:style>
  <w:style w:type="character" w:customStyle="1" w:styleId="112">
    <w:name w:val="批注框文本 Char"/>
    <w:link w:val="28"/>
    <w:autoRedefine/>
    <w:qFormat/>
    <w:uiPriority w:val="99"/>
    <w:rPr>
      <w:rFonts w:ascii="Calibri" w:hAnsi="Calibri" w:eastAsia="宋体" w:cs="Times New Roman"/>
      <w:sz w:val="18"/>
      <w:szCs w:val="18"/>
    </w:rPr>
  </w:style>
  <w:style w:type="character" w:customStyle="1" w:styleId="113">
    <w:name w:val="页脚 Char"/>
    <w:link w:val="29"/>
    <w:autoRedefine/>
    <w:qFormat/>
    <w:uiPriority w:val="99"/>
    <w:rPr>
      <w:sz w:val="18"/>
      <w:szCs w:val="18"/>
    </w:rPr>
  </w:style>
  <w:style w:type="character" w:customStyle="1" w:styleId="114">
    <w:name w:val="页眉 Char"/>
    <w:link w:val="30"/>
    <w:autoRedefine/>
    <w:semiHidden/>
    <w:qFormat/>
    <w:uiPriority w:val="99"/>
    <w:rPr>
      <w:sz w:val="18"/>
      <w:szCs w:val="18"/>
    </w:rPr>
  </w:style>
  <w:style w:type="character" w:customStyle="1" w:styleId="115">
    <w:name w:val="副标题 Char1"/>
    <w:link w:val="33"/>
    <w:autoRedefine/>
    <w:qFormat/>
    <w:uiPriority w:val="99"/>
    <w:rPr>
      <w:rFonts w:ascii="Cambria" w:hAnsi="Cambria" w:eastAsia="宋体" w:cs="Times New Roman"/>
      <w:b/>
      <w:bCs/>
      <w:kern w:val="28"/>
      <w:sz w:val="32"/>
      <w:szCs w:val="32"/>
    </w:rPr>
  </w:style>
  <w:style w:type="character" w:customStyle="1" w:styleId="116">
    <w:name w:val="脚注文本 Char"/>
    <w:link w:val="34"/>
    <w:autoRedefine/>
    <w:qFormat/>
    <w:uiPriority w:val="99"/>
    <w:rPr>
      <w:rFonts w:ascii="Times New Roman" w:hAnsi="Times New Roman" w:eastAsia="宋体" w:cs="Times New Roman"/>
      <w:kern w:val="0"/>
      <w:sz w:val="20"/>
      <w:szCs w:val="20"/>
    </w:rPr>
  </w:style>
  <w:style w:type="character" w:customStyle="1" w:styleId="117">
    <w:name w:val="正文文本缩进 3 Char"/>
    <w:link w:val="36"/>
    <w:autoRedefine/>
    <w:qFormat/>
    <w:uiPriority w:val="99"/>
    <w:rPr>
      <w:rFonts w:ascii="Times New Roman" w:hAnsi="Times New Roman" w:eastAsia="宋体" w:cs="Times New Roman"/>
      <w:kern w:val="0"/>
      <w:sz w:val="16"/>
      <w:szCs w:val="16"/>
    </w:rPr>
  </w:style>
  <w:style w:type="character" w:customStyle="1" w:styleId="118">
    <w:name w:val="正文文本 2 Char1"/>
    <w:link w:val="39"/>
    <w:autoRedefine/>
    <w:qFormat/>
    <w:uiPriority w:val="99"/>
    <w:rPr>
      <w:rFonts w:ascii="宋体" w:hAnsi="Calibri" w:eastAsia="宋体" w:cs="Times New Roman"/>
      <w:color w:val="000000"/>
      <w:kern w:val="0"/>
      <w:sz w:val="18"/>
      <w:szCs w:val="18"/>
    </w:rPr>
  </w:style>
  <w:style w:type="character" w:customStyle="1" w:styleId="119">
    <w:name w:val="标题 Char1"/>
    <w:link w:val="43"/>
    <w:autoRedefine/>
    <w:qFormat/>
    <w:uiPriority w:val="99"/>
    <w:rPr>
      <w:rFonts w:ascii="Arial" w:hAnsi="Arial" w:eastAsia="宋体" w:cs="Times New Roman"/>
      <w:b/>
      <w:kern w:val="0"/>
      <w:sz w:val="32"/>
      <w:szCs w:val="20"/>
    </w:rPr>
  </w:style>
  <w:style w:type="character" w:customStyle="1" w:styleId="120">
    <w:name w:val="批注主题 Char2"/>
    <w:link w:val="44"/>
    <w:autoRedefine/>
    <w:qFormat/>
    <w:uiPriority w:val="99"/>
    <w:rPr>
      <w:rFonts w:ascii="Calibri" w:hAnsi="Calibri" w:eastAsia="宋体" w:cs="Times New Roman"/>
      <w:b/>
      <w:bCs/>
      <w:kern w:val="0"/>
      <w:sz w:val="24"/>
      <w:szCs w:val="24"/>
    </w:rPr>
  </w:style>
  <w:style w:type="character" w:customStyle="1" w:styleId="121">
    <w:name w:val="Document Map Char"/>
    <w:autoRedefine/>
    <w:qFormat/>
    <w:locked/>
    <w:uiPriority w:val="99"/>
    <w:rPr>
      <w:rFonts w:ascii="Times New Roman" w:hAnsi="Times New Roman" w:eastAsia="宋体" w:cs="Times New Roman"/>
      <w:sz w:val="24"/>
      <w:szCs w:val="24"/>
      <w:shd w:val="clear" w:color="auto" w:fill="000080"/>
    </w:rPr>
  </w:style>
  <w:style w:type="character" w:customStyle="1" w:styleId="122">
    <w:name w:val="标题 Char"/>
    <w:autoRedefine/>
    <w:qFormat/>
    <w:uiPriority w:val="99"/>
    <w:rPr>
      <w:rFonts w:ascii="Cambria" w:hAnsi="Cambria" w:eastAsia="宋体" w:cs="Times New Roman"/>
      <w:b/>
      <w:bCs/>
      <w:sz w:val="32"/>
      <w:szCs w:val="32"/>
    </w:rPr>
  </w:style>
  <w:style w:type="character" w:customStyle="1" w:styleId="123">
    <w:name w:val="Char Char12"/>
    <w:autoRedefine/>
    <w:qFormat/>
    <w:locked/>
    <w:uiPriority w:val="99"/>
    <w:rPr>
      <w:rFonts w:ascii="宋体" w:hAnsi="宋体" w:eastAsia="宋体"/>
      <w:kern w:val="2"/>
      <w:sz w:val="24"/>
    </w:rPr>
  </w:style>
  <w:style w:type="character" w:customStyle="1" w:styleId="124">
    <w:name w:val="正文文本 3 Char1"/>
    <w:autoRedefine/>
    <w:qFormat/>
    <w:uiPriority w:val="99"/>
    <w:rPr>
      <w:rFonts w:cs="Times New Roman"/>
      <w:kern w:val="2"/>
      <w:sz w:val="16"/>
      <w:szCs w:val="16"/>
    </w:rPr>
  </w:style>
  <w:style w:type="character" w:customStyle="1" w:styleId="125">
    <w:name w:val="Char Char7"/>
    <w:autoRedefine/>
    <w:qFormat/>
    <w:uiPriority w:val="99"/>
    <w:rPr>
      <w:rFonts w:ascii="Arial" w:hAnsi="Arial" w:eastAsia="黑体"/>
      <w:b/>
      <w:kern w:val="2"/>
      <w:sz w:val="32"/>
      <w:lang w:val="en-US" w:eastAsia="zh-CN"/>
    </w:rPr>
  </w:style>
  <w:style w:type="character" w:customStyle="1" w:styleId="126">
    <w:name w:val="Body Text Indent Char"/>
    <w:autoRedefine/>
    <w:qFormat/>
    <w:locked/>
    <w:uiPriority w:val="99"/>
    <w:rPr>
      <w:rFonts w:ascii="Times New Roman" w:hAnsi="Times New Roman" w:eastAsia="宋体" w:cs="Times New Roman"/>
      <w:sz w:val="24"/>
      <w:szCs w:val="24"/>
    </w:rPr>
  </w:style>
  <w:style w:type="character" w:customStyle="1" w:styleId="127">
    <w:name w:val="正文文本缩进 2 Char1"/>
    <w:autoRedefine/>
    <w:qFormat/>
    <w:uiPriority w:val="99"/>
    <w:rPr>
      <w:rFonts w:cs="Times New Roman"/>
      <w:kern w:val="2"/>
      <w:sz w:val="24"/>
      <w:szCs w:val="24"/>
    </w:rPr>
  </w:style>
  <w:style w:type="character" w:customStyle="1" w:styleId="128">
    <w:name w:val="正文文本 Char1"/>
    <w:autoRedefine/>
    <w:qFormat/>
    <w:uiPriority w:val="99"/>
    <w:rPr>
      <w:kern w:val="2"/>
      <w:sz w:val="22"/>
    </w:rPr>
  </w:style>
  <w:style w:type="character" w:customStyle="1" w:styleId="129">
    <w:name w:val="Char Char3"/>
    <w:autoRedefine/>
    <w:qFormat/>
    <w:locked/>
    <w:uiPriority w:val="99"/>
    <w:rPr>
      <w:rFonts w:ascii="宋体" w:hAnsi="宋体" w:eastAsia="宋体"/>
      <w:kern w:val="2"/>
      <w:sz w:val="24"/>
      <w:lang w:val="en-US" w:eastAsia="zh-CN"/>
    </w:rPr>
  </w:style>
  <w:style w:type="character" w:customStyle="1" w:styleId="130">
    <w:name w:val="文档结构图 Char1"/>
    <w:autoRedefine/>
    <w:qFormat/>
    <w:uiPriority w:val="99"/>
    <w:rPr>
      <w:rFonts w:ascii="宋体" w:hAnsi="宋体" w:eastAsia="宋体"/>
      <w:kern w:val="2"/>
      <w:sz w:val="18"/>
    </w:rPr>
  </w:style>
  <w:style w:type="character" w:customStyle="1" w:styleId="131">
    <w:name w:val="批注框文本 Char1"/>
    <w:autoRedefine/>
    <w:qFormat/>
    <w:uiPriority w:val="99"/>
    <w:rPr>
      <w:kern w:val="2"/>
      <w:sz w:val="18"/>
    </w:rPr>
  </w:style>
  <w:style w:type="character" w:customStyle="1" w:styleId="132">
    <w:name w:val="_Style 130"/>
    <w:autoRedefine/>
    <w:qFormat/>
    <w:uiPriority w:val="99"/>
    <w:rPr>
      <w:i/>
      <w:color w:val="808080"/>
    </w:rPr>
  </w:style>
  <w:style w:type="character" w:customStyle="1" w:styleId="133">
    <w:name w:val="批注主题 Char"/>
    <w:autoRedefine/>
    <w:qFormat/>
    <w:uiPriority w:val="99"/>
    <w:rPr>
      <w:rFonts w:ascii="Times New Roman" w:hAnsi="Times New Roman" w:eastAsia="宋体" w:cs="Times New Roman"/>
      <w:b/>
      <w:bCs/>
      <w:sz w:val="24"/>
      <w:szCs w:val="24"/>
    </w:rPr>
  </w:style>
  <w:style w:type="character" w:customStyle="1" w:styleId="134">
    <w:name w:val="Quote Char"/>
    <w:autoRedefine/>
    <w:qFormat/>
    <w:locked/>
    <w:uiPriority w:val="99"/>
    <w:rPr>
      <w:rFonts w:cs="Times New Roman"/>
      <w:i/>
      <w:iCs/>
      <w:color w:val="000000"/>
    </w:rPr>
  </w:style>
  <w:style w:type="character" w:customStyle="1" w:styleId="135">
    <w:name w:val="Char Char2"/>
    <w:autoRedefine/>
    <w:qFormat/>
    <w:locked/>
    <w:uiPriority w:val="99"/>
    <w:rPr>
      <w:rFonts w:ascii="宋体" w:hAnsi="宋体" w:eastAsia="宋体"/>
      <w:kern w:val="2"/>
      <w:sz w:val="24"/>
      <w:lang w:val="en-US" w:eastAsia="zh-CN"/>
    </w:rPr>
  </w:style>
  <w:style w:type="character" w:customStyle="1" w:styleId="136">
    <w:name w:val="一级 Char"/>
    <w:link w:val="56"/>
    <w:autoRedefine/>
    <w:qFormat/>
    <w:uiPriority w:val="0"/>
    <w:rPr>
      <w:rFonts w:ascii="宋体" w:hAnsi="宋体"/>
      <w:b/>
      <w:sz w:val="32"/>
      <w:szCs w:val="32"/>
    </w:rPr>
  </w:style>
  <w:style w:type="character" w:customStyle="1" w:styleId="137">
    <w:name w:val="样式2 Char"/>
    <w:link w:val="57"/>
    <w:autoRedefine/>
    <w:qFormat/>
    <w:locked/>
    <w:uiPriority w:val="0"/>
    <w:rPr>
      <w:rFonts w:ascii="Times New Roman" w:hAnsi="Times New Roman" w:eastAsia="黑体"/>
      <w:b/>
      <w:kern w:val="2"/>
      <w:sz w:val="44"/>
      <w:szCs w:val="44"/>
    </w:rPr>
  </w:style>
  <w:style w:type="character" w:customStyle="1" w:styleId="138">
    <w:name w:val="Intense Quote Char"/>
    <w:autoRedefine/>
    <w:qFormat/>
    <w:locked/>
    <w:uiPriority w:val="99"/>
    <w:rPr>
      <w:rFonts w:cs="Times New Roman"/>
      <w:b/>
      <w:bCs/>
      <w:i/>
      <w:iCs/>
      <w:color w:val="4F81BD"/>
    </w:rPr>
  </w:style>
  <w:style w:type="character" w:customStyle="1" w:styleId="139">
    <w:name w:val="Intense Quote Char2"/>
    <w:autoRedefine/>
    <w:qFormat/>
    <w:locked/>
    <w:uiPriority w:val="99"/>
    <w:rPr>
      <w:rFonts w:ascii="Calibri" w:hAnsi="Calibri" w:eastAsia="宋体" w:cs="Times New Roman"/>
      <w:b/>
      <w:bCs/>
      <w:i/>
      <w:iCs/>
      <w:color w:val="4F81BD"/>
    </w:rPr>
  </w:style>
  <w:style w:type="character" w:customStyle="1" w:styleId="140">
    <w:name w:val="Char Char8"/>
    <w:autoRedefine/>
    <w:qFormat/>
    <w:uiPriority w:val="99"/>
    <w:rPr>
      <w:rFonts w:ascii="Arial" w:hAnsi="Arial" w:eastAsia="黑体"/>
      <w:b/>
      <w:kern w:val="2"/>
      <w:sz w:val="32"/>
      <w:lang w:val="en-US" w:eastAsia="zh-CN"/>
    </w:rPr>
  </w:style>
  <w:style w:type="character" w:customStyle="1" w:styleId="141">
    <w:name w:val="标题5 Char Char"/>
    <w:link w:val="58"/>
    <w:autoRedefine/>
    <w:qFormat/>
    <w:locked/>
    <w:uiPriority w:val="99"/>
    <w:rPr>
      <w:rFonts w:ascii="Arial" w:hAnsi="Arial"/>
      <w:b/>
      <w:sz w:val="32"/>
    </w:rPr>
  </w:style>
  <w:style w:type="character" w:customStyle="1" w:styleId="142">
    <w:name w:val="_Style 140"/>
    <w:autoRedefine/>
    <w:qFormat/>
    <w:uiPriority w:val="99"/>
    <w:rPr>
      <w:smallCaps/>
      <w:color w:val="C0504D"/>
      <w:u w:val="single"/>
    </w:rPr>
  </w:style>
  <w:style w:type="character" w:customStyle="1" w:styleId="143">
    <w:name w:val="Char Char9"/>
    <w:autoRedefine/>
    <w:qFormat/>
    <w:uiPriority w:val="99"/>
    <w:rPr>
      <w:kern w:val="2"/>
      <w:sz w:val="22"/>
    </w:rPr>
  </w:style>
  <w:style w:type="character" w:customStyle="1" w:styleId="144">
    <w:name w:val="Subtitle Char"/>
    <w:autoRedefine/>
    <w:qFormat/>
    <w:locked/>
    <w:uiPriority w:val="99"/>
    <w:rPr>
      <w:rFonts w:ascii="Cambria" w:hAnsi="Cambria" w:cs="Times New Roman"/>
      <w:b/>
      <w:bCs/>
      <w:kern w:val="28"/>
      <w:sz w:val="32"/>
      <w:szCs w:val="32"/>
    </w:rPr>
  </w:style>
  <w:style w:type="character" w:customStyle="1" w:styleId="145">
    <w:name w:val="_Style 143"/>
    <w:autoRedefine/>
    <w:qFormat/>
    <w:uiPriority w:val="99"/>
    <w:rPr>
      <w:b/>
      <w:smallCaps/>
      <w:spacing w:val="5"/>
    </w:rPr>
  </w:style>
  <w:style w:type="character" w:customStyle="1" w:styleId="146">
    <w:name w:val="三级 Char"/>
    <w:link w:val="59"/>
    <w:autoRedefine/>
    <w:qFormat/>
    <w:uiPriority w:val="0"/>
    <w:rPr>
      <w:rFonts w:ascii="宋体" w:hAnsi="宋体"/>
      <w:b/>
      <w:bCs/>
      <w:sz w:val="24"/>
      <w:szCs w:val="24"/>
    </w:rPr>
  </w:style>
  <w:style w:type="character" w:customStyle="1" w:styleId="147">
    <w:name w:val="_Style 145"/>
    <w:autoRedefine/>
    <w:qFormat/>
    <w:uiPriority w:val="99"/>
    <w:rPr>
      <w:b/>
      <w:i/>
      <w:color w:val="4F81BD"/>
    </w:rPr>
  </w:style>
  <w:style w:type="character" w:customStyle="1" w:styleId="148">
    <w:name w:val="Subtitle Char1"/>
    <w:autoRedefine/>
    <w:qFormat/>
    <w:locked/>
    <w:uiPriority w:val="99"/>
    <w:rPr>
      <w:rFonts w:ascii="Cambria" w:hAnsi="Cambria" w:cs="Times New Roman"/>
      <w:b/>
      <w:bCs/>
      <w:kern w:val="28"/>
      <w:sz w:val="32"/>
      <w:szCs w:val="32"/>
    </w:rPr>
  </w:style>
  <w:style w:type="character" w:customStyle="1" w:styleId="149">
    <w:name w:val="纯文本 Char"/>
    <w:autoRedefine/>
    <w:qFormat/>
    <w:uiPriority w:val="99"/>
    <w:rPr>
      <w:rFonts w:ascii="宋体" w:hAnsi="Courier New" w:eastAsia="宋体" w:cs="Courier New"/>
      <w:sz w:val="21"/>
      <w:szCs w:val="21"/>
    </w:rPr>
  </w:style>
  <w:style w:type="character" w:customStyle="1" w:styleId="150">
    <w:name w:val="Char Char"/>
    <w:autoRedefine/>
    <w:qFormat/>
    <w:uiPriority w:val="99"/>
    <w:rPr>
      <w:rFonts w:ascii="Arial" w:hAnsi="Arial" w:eastAsia="黑体"/>
      <w:b/>
      <w:kern w:val="2"/>
      <w:sz w:val="32"/>
      <w:lang w:val="en-US" w:eastAsia="zh-CN"/>
    </w:rPr>
  </w:style>
  <w:style w:type="character" w:customStyle="1" w:styleId="151">
    <w:name w:val="Quote Char1"/>
    <w:autoRedefine/>
    <w:qFormat/>
    <w:locked/>
    <w:uiPriority w:val="99"/>
    <w:rPr>
      <w:rFonts w:cs="Times New Roman"/>
      <w:i/>
      <w:iCs/>
      <w:color w:val="000000"/>
    </w:rPr>
  </w:style>
  <w:style w:type="character" w:customStyle="1" w:styleId="152">
    <w:name w:val="明显引用 Char"/>
    <w:autoRedefine/>
    <w:qFormat/>
    <w:uiPriority w:val="99"/>
    <w:rPr>
      <w:rFonts w:ascii="Times New Roman" w:hAnsi="Times New Roman" w:eastAsia="宋体" w:cs="Times New Roman"/>
      <w:b/>
      <w:bCs/>
      <w:i/>
      <w:iCs/>
      <w:color w:val="4F81BD"/>
      <w:sz w:val="24"/>
      <w:szCs w:val="24"/>
    </w:rPr>
  </w:style>
  <w:style w:type="character" w:customStyle="1" w:styleId="153">
    <w:name w:val="标题 3 字符"/>
    <w:autoRedefine/>
    <w:qFormat/>
    <w:locked/>
    <w:uiPriority w:val="99"/>
    <w:rPr>
      <w:rFonts w:ascii="Times New Roman" w:hAnsi="Times New Roman" w:eastAsia="宋体" w:cs="Times New Roman"/>
      <w:b/>
      <w:bCs/>
      <w:sz w:val="32"/>
      <w:szCs w:val="32"/>
    </w:rPr>
  </w:style>
  <w:style w:type="character" w:customStyle="1" w:styleId="154">
    <w:name w:val="Subtitle Char2"/>
    <w:autoRedefine/>
    <w:qFormat/>
    <w:locked/>
    <w:uiPriority w:val="99"/>
    <w:rPr>
      <w:rFonts w:ascii="Cambria" w:hAnsi="Cambria" w:eastAsia="宋体" w:cs="Times New Roman"/>
      <w:b/>
      <w:bCs/>
      <w:kern w:val="28"/>
      <w:sz w:val="32"/>
      <w:szCs w:val="32"/>
    </w:rPr>
  </w:style>
  <w:style w:type="character" w:customStyle="1" w:styleId="155">
    <w:name w:val="样式 标题 2 + Times New Roman 四号 非加粗 段前: 5 磅 段后: 0 磅 行距: 固定值 20... Char"/>
    <w:link w:val="61"/>
    <w:autoRedefine/>
    <w:qFormat/>
    <w:locked/>
    <w:uiPriority w:val="99"/>
    <w:rPr>
      <w:rFonts w:ascii="Times New Roman" w:hAnsi="Times New Roman" w:eastAsia="黑体" w:cs="宋体"/>
      <w:sz w:val="20"/>
      <w:szCs w:val="20"/>
    </w:rPr>
  </w:style>
  <w:style w:type="character" w:customStyle="1" w:styleId="156">
    <w:name w:val="正文文本 2 Char"/>
    <w:autoRedefine/>
    <w:qFormat/>
    <w:uiPriority w:val="99"/>
    <w:rPr>
      <w:rFonts w:ascii="Times New Roman" w:hAnsi="Times New Roman" w:eastAsia="宋体" w:cs="Times New Roman"/>
      <w:sz w:val="24"/>
      <w:szCs w:val="24"/>
    </w:rPr>
  </w:style>
  <w:style w:type="character" w:customStyle="1" w:styleId="157">
    <w:name w:val="副标题 Char"/>
    <w:autoRedefine/>
    <w:qFormat/>
    <w:uiPriority w:val="99"/>
    <w:rPr>
      <w:rFonts w:ascii="Cambria" w:hAnsi="Cambria" w:eastAsia="宋体" w:cs="Times New Roman"/>
      <w:b/>
      <w:bCs/>
      <w:kern w:val="28"/>
      <w:sz w:val="32"/>
      <w:szCs w:val="32"/>
    </w:rPr>
  </w:style>
  <w:style w:type="character" w:customStyle="1" w:styleId="158">
    <w:name w:val="日期 Char1"/>
    <w:autoRedefine/>
    <w:qFormat/>
    <w:uiPriority w:val="99"/>
    <w:rPr>
      <w:kern w:val="2"/>
      <w:sz w:val="22"/>
    </w:rPr>
  </w:style>
  <w:style w:type="character" w:customStyle="1" w:styleId="159">
    <w:name w:val="Body Text Indent 2 Char"/>
    <w:autoRedefine/>
    <w:qFormat/>
    <w:locked/>
    <w:uiPriority w:val="99"/>
    <w:rPr>
      <w:rFonts w:ascii="Times New Roman" w:hAnsi="Times New Roman" w:eastAsia="宋体" w:cs="Times New Roman"/>
      <w:sz w:val="24"/>
      <w:szCs w:val="24"/>
    </w:rPr>
  </w:style>
  <w:style w:type="character" w:customStyle="1" w:styleId="160">
    <w:name w:val="Char Char24"/>
    <w:autoRedefine/>
    <w:qFormat/>
    <w:locked/>
    <w:uiPriority w:val="99"/>
    <w:rPr>
      <w:rFonts w:ascii="宋体" w:hAnsi="宋体" w:eastAsia="宋体" w:cs="Times New Roman"/>
      <w:sz w:val="24"/>
      <w:szCs w:val="24"/>
      <w:lang w:bidi="ar-SA"/>
    </w:rPr>
  </w:style>
  <w:style w:type="character" w:customStyle="1" w:styleId="161">
    <w:name w:val="Char Char17"/>
    <w:autoRedefine/>
    <w:qFormat/>
    <w:uiPriority w:val="99"/>
    <w:rPr>
      <w:rFonts w:ascii="Cambria" w:hAnsi="Cambria" w:eastAsia="宋体"/>
      <w:b/>
      <w:kern w:val="2"/>
      <w:sz w:val="32"/>
    </w:rPr>
  </w:style>
  <w:style w:type="character" w:customStyle="1" w:styleId="162">
    <w:name w:val="批注框文本 Char3"/>
    <w:autoRedefine/>
    <w:qFormat/>
    <w:locked/>
    <w:uiPriority w:val="99"/>
    <w:rPr>
      <w:rFonts w:cs="Times New Roman"/>
      <w:sz w:val="18"/>
      <w:szCs w:val="18"/>
    </w:rPr>
  </w:style>
  <w:style w:type="character" w:customStyle="1" w:styleId="163">
    <w:name w:val="明显引用 Char1"/>
    <w:link w:val="62"/>
    <w:autoRedefine/>
    <w:qFormat/>
    <w:uiPriority w:val="99"/>
    <w:rPr>
      <w:rFonts w:ascii="Calibri" w:hAnsi="Calibri" w:eastAsia="宋体" w:cs="Times New Roman"/>
      <w:b/>
      <w:bCs/>
      <w:i/>
      <w:iCs/>
      <w:color w:val="4F81BD"/>
      <w:kern w:val="0"/>
      <w:sz w:val="20"/>
      <w:szCs w:val="20"/>
    </w:rPr>
  </w:style>
  <w:style w:type="character" w:customStyle="1" w:styleId="164">
    <w:name w:val="正文1 Char"/>
    <w:link w:val="63"/>
    <w:autoRedefine/>
    <w:qFormat/>
    <w:locked/>
    <w:uiPriority w:val="99"/>
    <w:rPr>
      <w:rFonts w:eastAsia="宋体"/>
    </w:rPr>
  </w:style>
  <w:style w:type="character" w:customStyle="1" w:styleId="165">
    <w:name w:val="font161"/>
    <w:autoRedefine/>
    <w:qFormat/>
    <w:uiPriority w:val="99"/>
    <w:rPr>
      <w:b/>
      <w:sz w:val="32"/>
    </w:rPr>
  </w:style>
  <w:style w:type="character" w:customStyle="1" w:styleId="166">
    <w:name w:val="Comment Subject Char"/>
    <w:autoRedefine/>
    <w:qFormat/>
    <w:locked/>
    <w:uiPriority w:val="99"/>
    <w:rPr>
      <w:rFonts w:eastAsia="宋体" w:cs="Times New Roman"/>
      <w:b/>
      <w:bCs/>
      <w:sz w:val="24"/>
      <w:szCs w:val="24"/>
    </w:rPr>
  </w:style>
  <w:style w:type="character" w:customStyle="1" w:styleId="167">
    <w:name w:val="Footnote Text Char"/>
    <w:autoRedefine/>
    <w:qFormat/>
    <w:locked/>
    <w:uiPriority w:val="99"/>
    <w:rPr>
      <w:rFonts w:ascii="Times New Roman" w:hAnsi="Times New Roman" w:cs="Times New Roman"/>
    </w:rPr>
  </w:style>
  <w:style w:type="character" w:customStyle="1" w:styleId="168">
    <w:name w:val="Body Text 2 Char"/>
    <w:autoRedefine/>
    <w:qFormat/>
    <w:locked/>
    <w:uiPriority w:val="99"/>
    <w:rPr>
      <w:rFonts w:ascii="宋体" w:eastAsia="宋体" w:cs="Times New Roman"/>
      <w:color w:val="000000"/>
      <w:sz w:val="18"/>
      <w:szCs w:val="18"/>
    </w:rPr>
  </w:style>
  <w:style w:type="character" w:customStyle="1" w:styleId="169">
    <w:name w:val="标题 1.1 Char"/>
    <w:autoRedefine/>
    <w:qFormat/>
    <w:uiPriority w:val="99"/>
    <w:rPr>
      <w:rFonts w:ascii="Arial" w:hAnsi="Arial" w:eastAsia="黑体"/>
      <w:b/>
      <w:kern w:val="2"/>
      <w:sz w:val="32"/>
      <w:lang w:val="en-US" w:eastAsia="zh-CN"/>
    </w:rPr>
  </w:style>
  <w:style w:type="character" w:customStyle="1" w:styleId="170">
    <w:name w:val="Title Char"/>
    <w:autoRedefine/>
    <w:qFormat/>
    <w:locked/>
    <w:uiPriority w:val="99"/>
    <w:rPr>
      <w:rFonts w:ascii="Arial" w:hAnsi="Arial" w:eastAsia="宋体" w:cs="Times New Roman"/>
      <w:b/>
      <w:sz w:val="32"/>
    </w:rPr>
  </w:style>
  <w:style w:type="character" w:customStyle="1" w:styleId="171">
    <w:name w:val="Quote Char2"/>
    <w:autoRedefine/>
    <w:qFormat/>
    <w:locked/>
    <w:uiPriority w:val="99"/>
    <w:rPr>
      <w:rFonts w:ascii="Calibri" w:hAnsi="Calibri" w:eastAsia="宋体" w:cs="Times New Roman"/>
      <w:i/>
      <w:iCs/>
      <w:color w:val="000000"/>
    </w:rPr>
  </w:style>
  <w:style w:type="character" w:customStyle="1" w:styleId="172">
    <w:name w:val="_Style 170"/>
    <w:autoRedefine/>
    <w:qFormat/>
    <w:uiPriority w:val="99"/>
    <w:rPr>
      <w:b/>
      <w:smallCaps/>
      <w:color w:val="C0504D"/>
      <w:spacing w:val="5"/>
      <w:u w:val="single"/>
    </w:rPr>
  </w:style>
  <w:style w:type="character" w:customStyle="1" w:styleId="173">
    <w:name w:val="Comment Text Char"/>
    <w:autoRedefine/>
    <w:qFormat/>
    <w:locked/>
    <w:uiPriority w:val="99"/>
    <w:rPr>
      <w:rFonts w:eastAsia="宋体" w:cs="Times New Roman"/>
      <w:sz w:val="24"/>
      <w:szCs w:val="24"/>
    </w:rPr>
  </w:style>
  <w:style w:type="character" w:customStyle="1" w:styleId="174">
    <w:name w:val="Char Char23"/>
    <w:autoRedefine/>
    <w:qFormat/>
    <w:locked/>
    <w:uiPriority w:val="99"/>
    <w:rPr>
      <w:rFonts w:ascii="宋体" w:hAnsi="宋体" w:eastAsia="宋体"/>
      <w:kern w:val="2"/>
      <w:sz w:val="24"/>
      <w:lang w:val="en-US" w:eastAsia="zh-CN"/>
    </w:rPr>
  </w:style>
  <w:style w:type="character" w:customStyle="1" w:styleId="175">
    <w:name w:val="正文文本缩进 3 Char1"/>
    <w:autoRedefine/>
    <w:qFormat/>
    <w:uiPriority w:val="99"/>
    <w:rPr>
      <w:rFonts w:cs="Times New Roman"/>
      <w:kern w:val="2"/>
      <w:sz w:val="16"/>
      <w:szCs w:val="16"/>
    </w:rPr>
  </w:style>
  <w:style w:type="character" w:customStyle="1" w:styleId="176">
    <w:name w:val="Title Char1"/>
    <w:autoRedefine/>
    <w:qFormat/>
    <w:locked/>
    <w:uiPriority w:val="99"/>
    <w:rPr>
      <w:rFonts w:ascii="Cambria" w:hAnsi="Cambria" w:cs="Times New Roman"/>
      <w:b/>
      <w:bCs/>
      <w:sz w:val="32"/>
      <w:szCs w:val="32"/>
    </w:rPr>
  </w:style>
  <w:style w:type="character" w:customStyle="1" w:styleId="177">
    <w:name w:val="Title Char2"/>
    <w:autoRedefine/>
    <w:qFormat/>
    <w:locked/>
    <w:uiPriority w:val="99"/>
    <w:rPr>
      <w:rFonts w:ascii="Cambria" w:hAnsi="Cambria" w:eastAsia="宋体" w:cs="Times New Roman"/>
      <w:b/>
      <w:bCs/>
      <w:sz w:val="32"/>
      <w:szCs w:val="32"/>
    </w:rPr>
  </w:style>
  <w:style w:type="character" w:customStyle="1" w:styleId="178">
    <w:name w:val="Date Char"/>
    <w:autoRedefine/>
    <w:qFormat/>
    <w:locked/>
    <w:uiPriority w:val="99"/>
    <w:rPr>
      <w:rFonts w:ascii="Times New Roman" w:hAnsi="Times New Roman" w:eastAsia="宋体" w:cs="Times New Roman"/>
      <w:sz w:val="24"/>
      <w:szCs w:val="24"/>
    </w:rPr>
  </w:style>
  <w:style w:type="character" w:customStyle="1" w:styleId="179">
    <w:name w:val="Body Text 3 Char"/>
    <w:autoRedefine/>
    <w:qFormat/>
    <w:locked/>
    <w:uiPriority w:val="99"/>
    <w:rPr>
      <w:rFonts w:ascii="宋体" w:hAnsi="Times New Roman" w:eastAsia="宋体" w:cs="Times New Roman"/>
      <w:sz w:val="20"/>
      <w:szCs w:val="20"/>
    </w:rPr>
  </w:style>
  <w:style w:type="character" w:customStyle="1" w:styleId="180">
    <w:name w:val="标题 2 Char"/>
    <w:autoRedefine/>
    <w:qFormat/>
    <w:uiPriority w:val="99"/>
    <w:rPr>
      <w:rFonts w:ascii="Cambria" w:hAnsi="Cambria" w:eastAsia="宋体" w:cs="Times New Roman"/>
      <w:b/>
      <w:bCs/>
      <w:kern w:val="0"/>
      <w:sz w:val="32"/>
      <w:szCs w:val="32"/>
    </w:rPr>
  </w:style>
  <w:style w:type="character" w:customStyle="1" w:styleId="181">
    <w:name w:val="Intense Quote Char1"/>
    <w:autoRedefine/>
    <w:qFormat/>
    <w:locked/>
    <w:uiPriority w:val="99"/>
    <w:rPr>
      <w:rFonts w:cs="Times New Roman"/>
      <w:b/>
      <w:bCs/>
      <w:i/>
      <w:iCs/>
      <w:color w:val="4F81BD"/>
    </w:rPr>
  </w:style>
  <w:style w:type="character" w:customStyle="1" w:styleId="182">
    <w:name w:val="HTML Markup"/>
    <w:autoRedefine/>
    <w:qFormat/>
    <w:uiPriority w:val="99"/>
    <w:rPr>
      <w:rFonts w:cs="Times New Roman"/>
      <w:vanish/>
      <w:color w:val="FF0000"/>
    </w:rPr>
  </w:style>
  <w:style w:type="character" w:customStyle="1" w:styleId="183">
    <w:name w:val="Plain Text Char"/>
    <w:autoRedefine/>
    <w:qFormat/>
    <w:locked/>
    <w:uiPriority w:val="99"/>
    <w:rPr>
      <w:rFonts w:ascii="宋体" w:hAnsi="Courier New" w:eastAsia="宋体" w:cs="Times New Roman"/>
    </w:rPr>
  </w:style>
  <w:style w:type="character" w:customStyle="1" w:styleId="184">
    <w:name w:val="二级 Char"/>
    <w:link w:val="64"/>
    <w:autoRedefine/>
    <w:qFormat/>
    <w:uiPriority w:val="0"/>
    <w:rPr>
      <w:rFonts w:ascii="宋体" w:hAnsi="宋体"/>
      <w:b/>
      <w:bCs/>
      <w:sz w:val="28"/>
      <w:szCs w:val="28"/>
    </w:rPr>
  </w:style>
  <w:style w:type="character" w:customStyle="1" w:styleId="185">
    <w:name w:val="Body Text Indent 3 Char"/>
    <w:autoRedefine/>
    <w:qFormat/>
    <w:locked/>
    <w:uiPriority w:val="99"/>
    <w:rPr>
      <w:rFonts w:ascii="Times New Roman" w:hAnsi="Times New Roman" w:eastAsia="宋体" w:cs="Times New Roman"/>
      <w:sz w:val="16"/>
      <w:szCs w:val="16"/>
    </w:rPr>
  </w:style>
  <w:style w:type="character" w:customStyle="1" w:styleId="186">
    <w:name w:val="textcontents"/>
    <w:autoRedefine/>
    <w:qFormat/>
    <w:uiPriority w:val="99"/>
    <w:rPr>
      <w:rFonts w:ascii="Times New Roman" w:hAnsi="Times New Roman"/>
    </w:rPr>
  </w:style>
  <w:style w:type="character" w:customStyle="1" w:styleId="187">
    <w:name w:val="批注文字 Char"/>
    <w:autoRedefine/>
    <w:qFormat/>
    <w:uiPriority w:val="99"/>
    <w:rPr>
      <w:rFonts w:ascii="Times New Roman" w:hAnsi="Times New Roman" w:eastAsia="宋体" w:cs="Times New Roman"/>
      <w:sz w:val="24"/>
      <w:szCs w:val="24"/>
    </w:rPr>
  </w:style>
  <w:style w:type="character" w:customStyle="1" w:styleId="188">
    <w:name w:val="引用 Char"/>
    <w:autoRedefine/>
    <w:qFormat/>
    <w:uiPriority w:val="99"/>
    <w:rPr>
      <w:rFonts w:ascii="Times New Roman" w:hAnsi="Times New Roman" w:eastAsia="宋体" w:cs="Times New Roman"/>
      <w:i/>
      <w:iCs/>
      <w:color w:val="000000"/>
      <w:sz w:val="24"/>
      <w:szCs w:val="24"/>
    </w:rPr>
  </w:style>
  <w:style w:type="character" w:customStyle="1" w:styleId="189">
    <w:name w:val="引用 Char1"/>
    <w:link w:val="65"/>
    <w:autoRedefine/>
    <w:qFormat/>
    <w:uiPriority w:val="99"/>
    <w:rPr>
      <w:rFonts w:ascii="Calibri" w:hAnsi="Calibri" w:eastAsia="宋体" w:cs="Times New Roman"/>
      <w:i/>
      <w:iCs/>
      <w:color w:val="000000"/>
      <w:kern w:val="0"/>
      <w:sz w:val="20"/>
      <w:szCs w:val="20"/>
    </w:rPr>
  </w:style>
  <w:style w:type="character" w:customStyle="1" w:styleId="190">
    <w:name w:val="批注主题 Char1"/>
    <w:autoRedefine/>
    <w:qFormat/>
    <w:uiPriority w:val="99"/>
    <w:rPr>
      <w:b/>
      <w:kern w:val="2"/>
      <w:sz w:val="22"/>
    </w:rPr>
  </w:style>
  <w:style w:type="character" w:customStyle="1" w:styleId="191">
    <w:name w:val="批注文字 Char Char"/>
    <w:autoRedefine/>
    <w:qFormat/>
    <w:uiPriority w:val="99"/>
    <w:rPr>
      <w:rFonts w:ascii="宋体" w:hAnsi="Times New Roman" w:eastAsia="宋体"/>
      <w:sz w:val="20"/>
    </w:rPr>
  </w:style>
  <w:style w:type="character" w:customStyle="1" w:styleId="192">
    <w:name w:val="Body Text Char"/>
    <w:autoRedefine/>
    <w:qFormat/>
    <w:locked/>
    <w:uiPriority w:val="99"/>
    <w:rPr>
      <w:rFonts w:ascii="Times New Roman" w:hAnsi="Times New Roman" w:eastAsia="宋体" w:cs="Times New Roman"/>
      <w:sz w:val="24"/>
      <w:szCs w:val="24"/>
    </w:rPr>
  </w:style>
  <w:style w:type="character" w:customStyle="1" w:styleId="193">
    <w:name w:val="font61"/>
    <w:basedOn w:val="48"/>
    <w:autoRedefine/>
    <w:qFormat/>
    <w:uiPriority w:val="0"/>
    <w:rPr>
      <w:rFonts w:ascii="仿宋_GB2312" w:eastAsia="仿宋_GB2312" w:cs="仿宋_GB2312"/>
      <w:color w:val="000000"/>
      <w:sz w:val="20"/>
      <w:szCs w:val="20"/>
      <w:u w:val="none"/>
    </w:rPr>
  </w:style>
  <w:style w:type="character" w:customStyle="1" w:styleId="194">
    <w:name w:val="font71"/>
    <w:basedOn w:val="48"/>
    <w:autoRedefine/>
    <w:qFormat/>
    <w:uiPriority w:val="0"/>
    <w:rPr>
      <w:rFonts w:hint="eastAsia" w:ascii="宋体" w:hAnsi="宋体" w:eastAsia="宋体" w:cs="宋体"/>
      <w:color w:val="000000"/>
      <w:sz w:val="20"/>
      <w:szCs w:val="20"/>
      <w:u w:val="none"/>
    </w:rPr>
  </w:style>
  <w:style w:type="character" w:customStyle="1" w:styleId="195">
    <w:name w:val="font11"/>
    <w:basedOn w:val="48"/>
    <w:autoRedefine/>
    <w:qFormat/>
    <w:uiPriority w:val="0"/>
    <w:rPr>
      <w:rFonts w:hint="eastAsia" w:ascii="宋体" w:hAnsi="宋体" w:eastAsia="宋体" w:cs="宋体"/>
      <w:color w:val="000000"/>
      <w:sz w:val="20"/>
      <w:szCs w:val="20"/>
      <w:u w:val="none"/>
    </w:rPr>
  </w:style>
  <w:style w:type="character" w:customStyle="1" w:styleId="196">
    <w:name w:val="font81"/>
    <w:basedOn w:val="48"/>
    <w:autoRedefine/>
    <w:qFormat/>
    <w:uiPriority w:val="0"/>
    <w:rPr>
      <w:rFonts w:hint="default" w:ascii="Times New Roman" w:hAnsi="Times New Roman" w:cs="Times New Roman"/>
      <w:color w:val="000000"/>
      <w:sz w:val="20"/>
      <w:szCs w:val="20"/>
      <w:u w:val="none"/>
    </w:rPr>
  </w:style>
  <w:style w:type="character" w:customStyle="1" w:styleId="197">
    <w:name w:val="font01"/>
    <w:basedOn w:val="48"/>
    <w:autoRedefine/>
    <w:qFormat/>
    <w:uiPriority w:val="0"/>
    <w:rPr>
      <w:rFonts w:hint="eastAsia" w:ascii="仿宋_GB2312" w:eastAsia="仿宋_GB2312" w:cs="仿宋_GB2312"/>
      <w:color w:val="000000"/>
      <w:sz w:val="20"/>
      <w:szCs w:val="20"/>
      <w:u w:val="none"/>
    </w:rPr>
  </w:style>
  <w:style w:type="character" w:customStyle="1" w:styleId="198">
    <w:name w:val="font91"/>
    <w:basedOn w:val="48"/>
    <w:autoRedefine/>
    <w:qFormat/>
    <w:uiPriority w:val="0"/>
    <w:rPr>
      <w:rFonts w:ascii="微软雅黑" w:hAnsi="微软雅黑" w:eastAsia="微软雅黑" w:cs="微软雅黑"/>
      <w:color w:val="000000"/>
      <w:sz w:val="20"/>
      <w:szCs w:val="20"/>
      <w:u w:val="none"/>
    </w:rPr>
  </w:style>
  <w:style w:type="character" w:customStyle="1" w:styleId="199">
    <w:name w:val="font21"/>
    <w:basedOn w:val="48"/>
    <w:autoRedefine/>
    <w:qFormat/>
    <w:uiPriority w:val="0"/>
    <w:rPr>
      <w:rFonts w:hint="eastAsia" w:ascii="宋体" w:hAnsi="宋体" w:eastAsia="宋体" w:cs="宋体"/>
      <w:color w:val="000000"/>
      <w:sz w:val="18"/>
      <w:szCs w:val="18"/>
      <w:u w:val="none"/>
    </w:rPr>
  </w:style>
  <w:style w:type="character" w:customStyle="1" w:styleId="200">
    <w:name w:val="font51"/>
    <w:basedOn w:val="48"/>
    <w:autoRedefine/>
    <w:qFormat/>
    <w:uiPriority w:val="0"/>
    <w:rPr>
      <w:rFonts w:ascii="仿宋_GB2312" w:eastAsia="仿宋_GB2312" w:cs="仿宋_GB2312"/>
      <w:color w:val="000000"/>
      <w:sz w:val="20"/>
      <w:szCs w:val="20"/>
      <w:u w:val="none"/>
    </w:rPr>
  </w:style>
  <w:style w:type="character" w:customStyle="1" w:styleId="201">
    <w:name w:val="font31"/>
    <w:basedOn w:val="48"/>
    <w:autoRedefine/>
    <w:qFormat/>
    <w:uiPriority w:val="0"/>
    <w:rPr>
      <w:rFonts w:hint="eastAsia" w:ascii="宋体" w:hAnsi="宋体" w:eastAsia="宋体" w:cs="宋体"/>
      <w:color w:val="000000"/>
      <w:sz w:val="18"/>
      <w:szCs w:val="18"/>
      <w:u w:val="none"/>
    </w:rPr>
  </w:style>
  <w:style w:type="character" w:customStyle="1" w:styleId="202">
    <w:name w:val="font41"/>
    <w:basedOn w:val="48"/>
    <w:autoRedefine/>
    <w:qFormat/>
    <w:uiPriority w:val="0"/>
    <w:rPr>
      <w:rFonts w:hint="eastAsia" w:ascii="等线" w:hAnsi="等线" w:eastAsia="等线" w:cs="等线"/>
      <w:color w:val="000000"/>
      <w:sz w:val="20"/>
      <w:szCs w:val="20"/>
      <w:u w:val="none"/>
    </w:rPr>
  </w:style>
  <w:style w:type="paragraph" w:customStyle="1" w:styleId="203">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7c6498c-0552-4c59-ae9c-47d58bc557e6}"/>
        <w:style w:val=""/>
        <w:category>
          <w:name w:val="常规"/>
          <w:gallery w:val="placeholder"/>
        </w:category>
        <w:types>
          <w:type w:val="bbPlcHdr"/>
        </w:types>
        <w:behaviors>
          <w:behavior w:val="content"/>
        </w:behaviors>
        <w:description w:val=""/>
        <w:guid w:val="{47c6498c-0552-4c59-ae9c-47d58bc557e6}"/>
      </w:docPartPr>
      <w:docPartBody>
        <w:p w14:paraId="2FBE26B2">
          <w:r>
            <w:rPr>
              <w:color w:val="808080"/>
            </w:rPr>
            <w:t>单击此处输入文字。</w:t>
          </w:r>
        </w:p>
      </w:docPartBody>
    </w:docPart>
    <w:docPart>
      <w:docPartPr>
        <w:name w:val="{b51bf0f7-022a-4559-abc0-0d1bd889bd8a}"/>
        <w:style w:val=""/>
        <w:category>
          <w:name w:val="常规"/>
          <w:gallery w:val="placeholder"/>
        </w:category>
        <w:types>
          <w:type w:val="bbPlcHdr"/>
        </w:types>
        <w:behaviors>
          <w:behavior w:val="content"/>
        </w:behaviors>
        <w:description w:val=""/>
        <w:guid w:val="{b51bf0f7-022a-4559-abc0-0d1bd889bd8a}"/>
      </w:docPartPr>
      <w:docPartBody>
        <w:p w14:paraId="7D94CE21">
          <w:r>
            <w:rPr>
              <w:color w:val="808080"/>
            </w:rPr>
            <w:t>单击此处输入文字。</w:t>
          </w:r>
        </w:p>
      </w:docPartBody>
    </w:docPart>
    <w:docPart>
      <w:docPartPr>
        <w:name w:val="{c25d4978-c5d2-477a-91bb-0b09dc94c11a}"/>
        <w:style w:val=""/>
        <w:category>
          <w:name w:val="常规"/>
          <w:gallery w:val="placeholder"/>
        </w:category>
        <w:types>
          <w:type w:val="bbPlcHdr"/>
        </w:types>
        <w:behaviors>
          <w:behavior w:val="content"/>
        </w:behaviors>
        <w:description w:val=""/>
        <w:guid w:val="{c25d4978-c5d2-477a-91bb-0b09dc94c11a}"/>
      </w:docPartPr>
      <w:docPartBody>
        <w:p w14:paraId="5C16AC7C">
          <w:r>
            <w:rPr>
              <w:color w:val="808080"/>
            </w:rPr>
            <w:t>单击此处输入文字。</w:t>
          </w:r>
        </w:p>
      </w:docPartBody>
    </w:docPart>
    <w:docPart>
      <w:docPartPr>
        <w:name w:val="{4dee9d09-12f1-4d62-ac96-cef84ef3c0db}"/>
        <w:style w:val=""/>
        <w:category>
          <w:name w:val="常规"/>
          <w:gallery w:val="placeholder"/>
        </w:category>
        <w:types>
          <w:type w:val="bbPlcHdr"/>
        </w:types>
        <w:behaviors>
          <w:behavior w:val="content"/>
        </w:behaviors>
        <w:description w:val=""/>
        <w:guid w:val="{4dee9d09-12f1-4d62-ac96-cef84ef3c0db}"/>
      </w:docPartPr>
      <w:docPartBody>
        <w:p w14:paraId="117D971B">
          <w:r>
            <w:rPr>
              <w:color w:val="808080"/>
            </w:rPr>
            <w:t>单击此处输入文字。</w:t>
          </w:r>
        </w:p>
      </w:docPartBody>
    </w:docPart>
    <w:docPart>
      <w:docPartPr>
        <w:name w:val="{baa7020d-cbdc-4b80-9be8-db23af549d25}"/>
        <w:style w:val=""/>
        <w:category>
          <w:name w:val="常规"/>
          <w:gallery w:val="placeholder"/>
        </w:category>
        <w:types>
          <w:type w:val="bbPlcHdr"/>
        </w:types>
        <w:behaviors>
          <w:behavior w:val="content"/>
        </w:behaviors>
        <w:description w:val=""/>
        <w:guid w:val="{baa7020d-cbdc-4b80-9be8-db23af549d25}"/>
      </w:docPartPr>
      <w:docPartBody>
        <w:p w14:paraId="46E55E15">
          <w:r>
            <w:rPr>
              <w:color w:val="808080"/>
            </w:rPr>
            <w:t>单击此处输入文字。</w:t>
          </w:r>
        </w:p>
      </w:docPartBody>
    </w:docPart>
    <w:docPart>
      <w:docPartPr>
        <w:name w:val="{37c66cee-39be-405c-8a3b-ccee1d5988c9}"/>
        <w:style w:val=""/>
        <w:category>
          <w:name w:val="常规"/>
          <w:gallery w:val="placeholder"/>
        </w:category>
        <w:types>
          <w:type w:val="bbPlcHdr"/>
        </w:types>
        <w:behaviors>
          <w:behavior w:val="content"/>
        </w:behaviors>
        <w:description w:val=""/>
        <w:guid w:val="{37c66cee-39be-405c-8a3b-ccee1d5988c9}"/>
      </w:docPartPr>
      <w:docPartBody>
        <w:p w14:paraId="233A8689">
          <w:r>
            <w:rPr>
              <w:color w:val="808080"/>
            </w:rPr>
            <w:t>单击此处输入文字。</w:t>
          </w:r>
        </w:p>
      </w:docPartBody>
    </w:docPart>
    <w:docPart>
      <w:docPartPr>
        <w:name w:val="{fdd5341b-5a73-400a-9400-40fd51aceecd}"/>
        <w:style w:val=""/>
        <w:category>
          <w:name w:val="常规"/>
          <w:gallery w:val="placeholder"/>
        </w:category>
        <w:types>
          <w:type w:val="bbPlcHdr"/>
        </w:types>
        <w:behaviors>
          <w:behavior w:val="content"/>
        </w:behaviors>
        <w:description w:val=""/>
        <w:guid w:val="{fdd5341b-5a73-400a-9400-40fd51aceecd}"/>
      </w:docPartPr>
      <w:docPartBody>
        <w:p w14:paraId="6A13E779">
          <w:r>
            <w:rPr>
              <w:color w:val="808080"/>
            </w:rPr>
            <w:t>单击此处输入文字。</w:t>
          </w:r>
        </w:p>
      </w:docPartBody>
    </w:docPart>
    <w:docPart>
      <w:docPartPr>
        <w:name w:val="{c8d31c09-d53b-47a6-805d-f697f880347d}"/>
        <w:style w:val=""/>
        <w:category>
          <w:name w:val="常规"/>
          <w:gallery w:val="placeholder"/>
        </w:category>
        <w:types>
          <w:type w:val="bbPlcHdr"/>
        </w:types>
        <w:behaviors>
          <w:behavior w:val="content"/>
        </w:behaviors>
        <w:description w:val=""/>
        <w:guid w:val="{c8d31c09-d53b-47a6-805d-f697f880347d}"/>
      </w:docPartPr>
      <w:docPartBody>
        <w:p w14:paraId="29BF6C77">
          <w:r>
            <w:rPr>
              <w:color w:val="808080"/>
            </w:rPr>
            <w:t>单击此处输入文字。</w:t>
          </w:r>
        </w:p>
      </w:docPartBody>
    </w:docPart>
    <w:docPart>
      <w:docPartPr>
        <w:name w:val="{ebff3c89-b4c8-46ae-97ac-e8b2495addcb}"/>
        <w:style w:val=""/>
        <w:category>
          <w:name w:val="常规"/>
          <w:gallery w:val="placeholder"/>
        </w:category>
        <w:types>
          <w:type w:val="bbPlcHdr"/>
        </w:types>
        <w:behaviors>
          <w:behavior w:val="content"/>
        </w:behaviors>
        <w:description w:val=""/>
        <w:guid w:val="{ebff3c89-b4c8-46ae-97ac-e8b2495addcb}"/>
      </w:docPartPr>
      <w:docPartBody>
        <w:p w14:paraId="3BA58B73">
          <w:r>
            <w:rPr>
              <w:color w:val="808080"/>
            </w:rPr>
            <w:t>单击此处输入文字。</w:t>
          </w:r>
        </w:p>
      </w:docPartBody>
    </w:docPart>
    <w:docPart>
      <w:docPartPr>
        <w:name w:val="{ec6c8546-bf52-4b04-a1f8-d58ee26a9361}"/>
        <w:style w:val=""/>
        <w:category>
          <w:name w:val="常规"/>
          <w:gallery w:val="placeholder"/>
        </w:category>
        <w:types>
          <w:type w:val="bbPlcHdr"/>
        </w:types>
        <w:behaviors>
          <w:behavior w:val="content"/>
        </w:behaviors>
        <w:description w:val=""/>
        <w:guid w:val="{ec6c8546-bf52-4b04-a1f8-d58ee26a9361}"/>
      </w:docPartPr>
      <w:docPartBody>
        <w:p w14:paraId="095C7A4A">
          <w:r>
            <w:rPr>
              <w:color w:val="808080"/>
            </w:rPr>
            <w:t>单击此处输入文字。</w:t>
          </w:r>
        </w:p>
      </w:docPartBody>
    </w:docPart>
    <w:docPart>
      <w:docPartPr>
        <w:name w:val="{cd7df482-2d0d-47bc-9c73-7f2245ce7394}"/>
        <w:style w:val=""/>
        <w:category>
          <w:name w:val="常规"/>
          <w:gallery w:val="placeholder"/>
        </w:category>
        <w:types>
          <w:type w:val="bbPlcHdr"/>
        </w:types>
        <w:behaviors>
          <w:behavior w:val="content"/>
        </w:behaviors>
        <w:description w:val=""/>
        <w:guid w:val="{cd7df482-2d0d-47bc-9c73-7f2245ce7394}"/>
      </w:docPartPr>
      <w:docPartBody>
        <w:p w14:paraId="1A71DA21">
          <w:r>
            <w:rPr>
              <w:color w:val="808080"/>
            </w:rPr>
            <w:t>单击此处输入文字。</w:t>
          </w:r>
        </w:p>
      </w:docPartBody>
    </w:docPart>
    <w:docPart>
      <w:docPartPr>
        <w:name w:val="{b985d993-bf46-4bf7-a804-6cac3911529b}"/>
        <w:style w:val=""/>
        <w:category>
          <w:name w:val="常规"/>
          <w:gallery w:val="placeholder"/>
        </w:category>
        <w:types>
          <w:type w:val="bbPlcHdr"/>
        </w:types>
        <w:behaviors>
          <w:behavior w:val="content"/>
        </w:behaviors>
        <w:description w:val=""/>
        <w:guid w:val="{b985d993-bf46-4bf7-a804-6cac3911529b}"/>
      </w:docPartPr>
      <w:docPartBody>
        <w:p w14:paraId="10B94A59">
          <w:r>
            <w:rPr>
              <w:color w:val="808080"/>
            </w:rPr>
            <w:t>单击此处输入文字。</w:t>
          </w:r>
        </w:p>
      </w:docPartBody>
    </w:docPart>
    <w:docPart>
      <w:docPartPr>
        <w:name w:val="{ea41b6b9-b3e2-4665-ba57-84d017007248}"/>
        <w:style w:val=""/>
        <w:category>
          <w:name w:val="常规"/>
          <w:gallery w:val="placeholder"/>
        </w:category>
        <w:types>
          <w:type w:val="bbPlcHdr"/>
        </w:types>
        <w:behaviors>
          <w:behavior w:val="content"/>
        </w:behaviors>
        <w:description w:val=""/>
        <w:guid w:val="{ea41b6b9-b3e2-4665-ba57-84d017007248}"/>
      </w:docPartPr>
      <w:docPartBody>
        <w:p w14:paraId="5E375073">
          <w:r>
            <w:rPr>
              <w:color w:val="808080"/>
            </w:rPr>
            <w:t>单击此处输入文字。</w:t>
          </w:r>
        </w:p>
      </w:docPartBody>
    </w:docPart>
    <w:docPart>
      <w:docPartPr>
        <w:name w:val="{2bb8ae50-9b2b-4e83-bd42-d0ed4c0d1e74}"/>
        <w:style w:val=""/>
        <w:category>
          <w:name w:val="常规"/>
          <w:gallery w:val="placeholder"/>
        </w:category>
        <w:types>
          <w:type w:val="bbPlcHdr"/>
        </w:types>
        <w:behaviors>
          <w:behavior w:val="content"/>
        </w:behaviors>
        <w:description w:val=""/>
        <w:guid w:val="{2bb8ae50-9b2b-4e83-bd42-d0ed4c0d1e74}"/>
      </w:docPartPr>
      <w:docPartBody>
        <w:p w14:paraId="6A8E2905">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6524</Words>
  <Characters>7440</Characters>
  <Lines>183</Lines>
  <Paragraphs>51</Paragraphs>
  <TotalTime>27</TotalTime>
  <ScaleCrop>false</ScaleCrop>
  <LinksUpToDate>false</LinksUpToDate>
  <CharactersWithSpaces>7620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2022-01-02T12:08:00Z</dcterms:created>
  <dc:creator>lixue</dc:creator>
  <cp:lastModifiedBy>Yuxue</cp:lastModifiedBy>
  <cp:lastPrinted>2024-07-04T03:37:00Z</cp:lastPrinted>
  <dcterms:modified xsi:type="dcterms:W3CDTF">2026-06-18T02:07:03Z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71BC6D86E9F549BCB60A30BFA97BB28C</vt:lpwstr>
  </property>
  <property fmtid="{D5CDD505-2E9C-101B-9397-08002B2CF9AE}" pid="4" name="KSOTemplateDocerSaveRecord">
    <vt:lpwstr>eyJoZGlkIjoiOGIxMjkzYWNlZTUyOWJkNzc0NWJhZjZjMGI2ODk4NTQiLCJ1c2VySWQiOiI0MTM1NTA2ODgifQ==</vt:lpwstr>
  </property>
</Properties>
</file>